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B247" w14:textId="39E0BE9E" w:rsidR="008B0E3B" w:rsidRPr="008B0E3B" w:rsidRDefault="008B0E3B" w:rsidP="008B0E3B">
      <w:pPr>
        <w:spacing w:before="360" w:line="240" w:lineRule="auto"/>
        <w:outlineLvl w:val="0"/>
        <w:rPr>
          <w:rFonts w:ascii="Arial" w:eastAsia="Arial" w:hAnsi="Arial" w:cs="Arial"/>
          <w:b/>
          <w:bCs/>
          <w:color w:val="1F3864"/>
          <w:kern w:val="0"/>
          <w:lang w:eastAsia="en-GB"/>
          <w14:ligatures w14:val="none"/>
        </w:rPr>
      </w:pPr>
      <w:r w:rsidRPr="008B0E3B">
        <w:rPr>
          <w:rFonts w:ascii="Arial" w:eastAsia="Arial" w:hAnsi="Arial" w:cs="Arial"/>
          <w:b/>
          <w:bCs/>
          <w:color w:val="1F3864"/>
          <w:kern w:val="0"/>
          <w:lang w:eastAsia="en-GB"/>
          <w14:ligatures w14:val="none"/>
        </w:rPr>
        <w:t xml:space="preserve">1. </w:t>
      </w:r>
      <w:r w:rsidRPr="008B0E3B">
        <w:rPr>
          <w:rFonts w:ascii="Arial" w:eastAsia="Arial" w:hAnsi="Arial" w:cs="Arial"/>
          <w:b/>
          <w:bCs/>
          <w:color w:val="1F3864"/>
          <w:kern w:val="0"/>
          <w:lang w:eastAsia="en-GB"/>
          <w14:ligatures w14:val="none"/>
        </w:rPr>
        <w:t>Executive summary</w:t>
      </w:r>
    </w:p>
    <w:p w14:paraId="68173498" w14:textId="726418FE"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This briefing distils the latest UVAC State of the Nation update for members. It captures the policy environment, performance data and strategic implications for higher education providers delivering apprenticeships, higher technical qualifications (HTQs) and lifelong learning provision.</w:t>
      </w:r>
    </w:p>
    <w:p w14:paraId="5D498D26" w14:textId="18C14756"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The picture is one of significant structural transition. Achievement rates are rising and HE providers continue to dominate </w:t>
      </w:r>
      <w:r>
        <w:rPr>
          <w:rFonts w:ascii="Arial" w:eastAsia="Arial" w:hAnsi="Arial" w:cs="Arial"/>
          <w:kern w:val="0"/>
          <w:sz w:val="22"/>
          <w:szCs w:val="22"/>
          <w:lang w:eastAsia="en-GB"/>
          <w14:ligatures w14:val="none"/>
        </w:rPr>
        <w:t xml:space="preserve">some of </w:t>
      </w:r>
      <w:r w:rsidRPr="008B0E3B">
        <w:rPr>
          <w:rFonts w:ascii="Arial" w:eastAsia="Arial" w:hAnsi="Arial" w:cs="Arial"/>
          <w:kern w:val="0"/>
          <w:sz w:val="22"/>
          <w:szCs w:val="22"/>
          <w:lang w:eastAsia="en-GB"/>
          <w14:ligatures w14:val="none"/>
        </w:rPr>
        <w:t>the highest-volume standards, yet government policy on Level 7 funding, leadership and management apprenticeships, the emerging Growth and Skills Levy, the Post-16 Education and Skills White Paper and the Lifelong Learning Entitlement (LLE) is reshaping the operating environment. UVAC continues to press the case that universities are central — not peripheral — to delivering the higher-level skills the economy needs.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B4DD" w:themeFill="accent3" w:themeFillTint="33"/>
        <w:tblCellMar>
          <w:left w:w="10" w:type="dxa"/>
          <w:right w:w="10" w:type="dxa"/>
        </w:tblCellMar>
        <w:tblLook w:val="04A0" w:firstRow="1" w:lastRow="0" w:firstColumn="1" w:lastColumn="0" w:noHBand="0" w:noVBand="1"/>
      </w:tblPr>
      <w:tblGrid>
        <w:gridCol w:w="9360"/>
      </w:tblGrid>
      <w:tr w:rsidR="008B0E3B" w:rsidRPr="008B0E3B" w14:paraId="4A24AC55" w14:textId="77777777" w:rsidTr="008B0E3B">
        <w:tblPrEx>
          <w:tblCellMar>
            <w:top w:w="0" w:type="dxa"/>
            <w:bottom w:w="0" w:type="dxa"/>
          </w:tblCellMar>
        </w:tblPrEx>
        <w:tc>
          <w:tcPr>
            <w:tcW w:w="9360" w:type="dxa"/>
            <w:tcBorders>
              <w:top w:val="single" w:sz="4" w:space="0" w:color="FFB4DD"/>
              <w:left w:val="single" w:sz="4" w:space="0" w:color="FFB4DD"/>
              <w:bottom w:val="single" w:sz="4" w:space="0" w:color="FFB4DD"/>
              <w:right w:val="single" w:sz="4" w:space="0" w:color="FFB4DD"/>
            </w:tcBorders>
            <w:shd w:val="clear" w:color="auto" w:fill="FFB4DD" w:themeFill="accent3" w:themeFillTint="33"/>
            <w:tcMar>
              <w:top w:w="160" w:type="dxa"/>
              <w:left w:w="200" w:type="dxa"/>
              <w:bottom w:w="160" w:type="dxa"/>
              <w:right w:w="200" w:type="dxa"/>
            </w:tcMar>
          </w:tcPr>
          <w:p w14:paraId="69B8D427" w14:textId="77777777" w:rsidR="008B0E3B" w:rsidRPr="008B0E3B" w:rsidRDefault="008B0E3B" w:rsidP="008B0E3B">
            <w:pPr>
              <w:spacing w:after="80" w:line="240" w:lineRule="auto"/>
              <w:rPr>
                <w:rFonts w:ascii="Arial" w:eastAsia="Arial" w:hAnsi="Arial" w:cs="Arial"/>
                <w:kern w:val="0"/>
                <w:sz w:val="22"/>
                <w:szCs w:val="22"/>
                <w:lang w:eastAsia="en-GB"/>
                <w14:ligatures w14:val="none"/>
              </w:rPr>
            </w:pPr>
            <w:proofErr w:type="gramStart"/>
            <w:r w:rsidRPr="008B0E3B">
              <w:rPr>
                <w:rFonts w:ascii="Arial" w:eastAsia="Arial" w:hAnsi="Arial" w:cs="Arial"/>
                <w:b/>
                <w:bCs/>
                <w:color w:val="1F3864"/>
                <w:kern w:val="0"/>
                <w:sz w:val="22"/>
                <w:szCs w:val="22"/>
                <w:lang w:eastAsia="en-GB"/>
                <w14:ligatures w14:val="none"/>
              </w:rPr>
              <w:t>At a glance</w:t>
            </w:r>
            <w:proofErr w:type="gramEnd"/>
          </w:p>
          <w:p w14:paraId="72AFC4D7" w14:textId="68F85CB6"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National apprenticeship achievement rate has risen to 65.4% (2024-25), up 4.9pp on the previous year — just shy of the 67% target</w:t>
            </w:r>
            <w:r>
              <w:rPr>
                <w:rFonts w:ascii="Arial" w:eastAsia="Arial" w:hAnsi="Arial" w:cs="Arial"/>
                <w:kern w:val="0"/>
                <w:sz w:val="22"/>
                <w:szCs w:val="22"/>
                <w:lang w:eastAsia="en-GB"/>
                <w14:ligatures w14:val="none"/>
              </w:rPr>
              <w:t xml:space="preserve"> set in 2022</w:t>
            </w:r>
            <w:r w:rsidRPr="008B0E3B">
              <w:rPr>
                <w:rFonts w:ascii="Arial" w:eastAsia="Arial" w:hAnsi="Arial" w:cs="Arial"/>
                <w:kern w:val="0"/>
                <w:sz w:val="22"/>
                <w:szCs w:val="22"/>
                <w:lang w:eastAsia="en-GB"/>
                <w14:ligatures w14:val="none"/>
              </w:rPr>
              <w:t>.</w:t>
            </w:r>
          </w:p>
          <w:p w14:paraId="5C1F62CA"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UVAC members account for 38% of Senior Leader and two thirds of CMDA activity.</w:t>
            </w:r>
          </w:p>
          <w:p w14:paraId="3B1DD4CC"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Higher apprenticeship starts grew 15% to 140,730 in 2024-25; Level 7 starts surged 24% ahead of the January 2026 funding restriction.</w:t>
            </w:r>
          </w:p>
          <w:p w14:paraId="027961CB"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Levy receipts are projected to reach £4-5 billion by 2030 against a £3.3 billion apprenticeship budget — a Treasury margin of c.£1.5 billion.</w:t>
            </w:r>
          </w:p>
          <w:p w14:paraId="05A94765" w14:textId="42D557DC"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Only eight short courses are fundable from April — seven in engineering/construction and one in AI.</w:t>
            </w:r>
            <w:r>
              <w:rPr>
                <w:rFonts w:ascii="Arial" w:eastAsia="Arial" w:hAnsi="Arial" w:cs="Arial"/>
                <w:kern w:val="0"/>
                <w:sz w:val="22"/>
                <w:szCs w:val="22"/>
                <w:lang w:eastAsia="en-GB"/>
                <w14:ligatures w14:val="none"/>
              </w:rPr>
              <w:t xml:space="preserve"> The only one to speak to HE is the AI Strategy Unit (funding rate @£750). </w:t>
            </w:r>
            <w:proofErr w:type="gramStart"/>
            <w:r>
              <w:rPr>
                <w:rFonts w:ascii="Arial" w:eastAsia="Arial" w:hAnsi="Arial" w:cs="Arial"/>
                <w:kern w:val="0"/>
                <w:sz w:val="22"/>
                <w:szCs w:val="22"/>
                <w:lang w:eastAsia="en-GB"/>
                <w14:ligatures w14:val="none"/>
              </w:rPr>
              <w:t>So</w:t>
            </w:r>
            <w:proofErr w:type="gramEnd"/>
            <w:r>
              <w:rPr>
                <w:rFonts w:ascii="Arial" w:eastAsia="Arial" w:hAnsi="Arial" w:cs="Arial"/>
                <w:kern w:val="0"/>
                <w:sz w:val="22"/>
                <w:szCs w:val="22"/>
                <w:lang w:eastAsia="en-GB"/>
                <w14:ligatures w14:val="none"/>
              </w:rPr>
              <w:t xml:space="preserve"> a very scant offer.</w:t>
            </w:r>
          </w:p>
        </w:tc>
      </w:tr>
    </w:tbl>
    <w:p w14:paraId="7BF42405" w14:textId="7B10E6D0" w:rsidR="008B0E3B" w:rsidRPr="008B0E3B" w:rsidRDefault="008B0E3B" w:rsidP="008B0E3B">
      <w:pPr>
        <w:spacing w:before="360" w:line="240" w:lineRule="auto"/>
        <w:outlineLvl w:val="0"/>
        <w:rPr>
          <w:rFonts w:ascii="Arial" w:eastAsia="Arial" w:hAnsi="Arial" w:cs="Arial"/>
          <w:b/>
          <w:bCs/>
          <w:color w:val="1F3864"/>
          <w:kern w:val="0"/>
          <w:lang w:eastAsia="en-GB"/>
          <w14:ligatures w14:val="none"/>
        </w:rPr>
      </w:pPr>
      <w:r>
        <w:rPr>
          <w:rFonts w:ascii="Arial" w:eastAsia="Arial" w:hAnsi="Arial" w:cs="Arial"/>
          <w:b/>
          <w:bCs/>
          <w:color w:val="1F3864"/>
          <w:kern w:val="0"/>
          <w:lang w:eastAsia="en-GB"/>
          <w14:ligatures w14:val="none"/>
        </w:rPr>
        <w:t xml:space="preserve">2. </w:t>
      </w:r>
      <w:r w:rsidRPr="008B0E3B">
        <w:rPr>
          <w:rFonts w:ascii="Arial" w:eastAsia="Arial" w:hAnsi="Arial" w:cs="Arial"/>
          <w:b/>
          <w:bCs/>
          <w:color w:val="1F3864"/>
          <w:kern w:val="0"/>
          <w:lang w:eastAsia="en-GB"/>
          <w14:ligatures w14:val="none"/>
        </w:rPr>
        <w:t>Performance: QAR 2026 and member position</w:t>
      </w:r>
    </w:p>
    <w:p w14:paraId="6016C2A2" w14:textId="1D087971" w:rsidR="008B0E3B" w:rsidRPr="008B0E3B"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8B0E3B">
        <w:rPr>
          <w:rFonts w:ascii="Arial" w:eastAsia="Arial" w:hAnsi="Arial" w:cs="Arial"/>
          <w:b/>
          <w:bCs/>
          <w:color w:val="1F3864"/>
          <w:kern w:val="0"/>
          <w:lang w:eastAsia="en-GB"/>
          <w14:ligatures w14:val="none"/>
        </w:rPr>
        <w:t>National picture</w:t>
      </w:r>
    </w:p>
    <w:p w14:paraId="6435B391"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2024-25 Qualification Achievement Rate (QAR) shows the national apprenticeship achievement rate climbing to 65.4%, narrowly missing the 67% target set in 2022 (when the rate stood at 51.4%). Retention on apprenticeship standards rose 4.8pp to 66.7%, meaning 33% of apprentices still leave before completing. In a letter to the sector, Work and Pensions Secretary Pat McFadden urged achievement rates to exceed 70% in coming years.</w:t>
      </w:r>
    </w:p>
    <w:p w14:paraId="7B369F08" w14:textId="15BF09AA" w:rsidR="008B0E3B" w:rsidRPr="008B0E3B"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8B0E3B">
        <w:rPr>
          <w:rFonts w:ascii="Arial" w:eastAsia="Arial" w:hAnsi="Arial" w:cs="Arial"/>
          <w:b/>
          <w:bCs/>
          <w:color w:val="1F3864"/>
          <w:kern w:val="0"/>
          <w:lang w:eastAsia="en-GB"/>
          <w14:ligatures w14:val="none"/>
        </w:rPr>
        <w:t>Performance by level and sector</w:t>
      </w:r>
    </w:p>
    <w:p w14:paraId="7980028B"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Improvement is broad-based. Every level recorded </w:t>
      </w:r>
      <w:proofErr w:type="gramStart"/>
      <w:r w:rsidRPr="008B0E3B">
        <w:rPr>
          <w:rFonts w:ascii="Arial" w:eastAsia="Arial" w:hAnsi="Arial" w:cs="Arial"/>
          <w:kern w:val="0"/>
          <w:sz w:val="22"/>
          <w:szCs w:val="22"/>
          <w:lang w:eastAsia="en-GB"/>
          <w14:ligatures w14:val="none"/>
        </w:rPr>
        <w:t>gains</w:t>
      </w:r>
      <w:proofErr w:type="gramEnd"/>
      <w:r w:rsidRPr="008B0E3B">
        <w:rPr>
          <w:rFonts w:ascii="Arial" w:eastAsia="Arial" w:hAnsi="Arial" w:cs="Arial"/>
          <w:kern w:val="0"/>
          <w:sz w:val="22"/>
          <w:szCs w:val="22"/>
          <w:lang w:eastAsia="en-GB"/>
          <w14:ligatures w14:val="none"/>
        </w:rPr>
        <w:t xml:space="preserve">, with Level 5 leading the increase (+6.6pp to 66.2%), closely followed by Level 3 (+6.3pp to 66.4%). Level 6 remained the highest-performing level at 69.3%, while Level 4 again recorded the lowest rate at 60.9%. </w:t>
      </w:r>
      <w:r w:rsidRPr="008B0E3B">
        <w:rPr>
          <w:rFonts w:ascii="Arial" w:eastAsia="Arial" w:hAnsi="Arial" w:cs="Arial"/>
          <w:kern w:val="0"/>
          <w:sz w:val="22"/>
          <w:szCs w:val="22"/>
          <w:lang w:eastAsia="en-GB"/>
          <w14:ligatures w14:val="none"/>
        </w:rPr>
        <w:lastRenderedPageBreak/>
        <w:t>Health, public services and care rose 7.4pp to 66.8%; science and maths posted the largest single jump (+8.3pp to 74.3%). The 24-and-over cohort improved by 6.1pp to 64.9%, likely influenced by the February 2025 removal of the English and maths functional skills exit requirement for adults.</w:t>
      </w:r>
    </w:p>
    <w:p w14:paraId="3EEE8C73" w14:textId="77777777" w:rsidR="008B0E3B" w:rsidRPr="008B0E3B" w:rsidRDefault="008B0E3B" w:rsidP="008B0E3B">
      <w:pPr>
        <w:spacing w:before="360" w:line="240" w:lineRule="auto"/>
        <w:outlineLvl w:val="0"/>
        <w:rPr>
          <w:rFonts w:ascii="Arial" w:eastAsia="Arial" w:hAnsi="Arial" w:cs="Arial"/>
          <w:b/>
          <w:bCs/>
          <w:color w:val="1F3864"/>
          <w:kern w:val="0"/>
          <w:lang w:eastAsia="en-GB"/>
          <w14:ligatures w14:val="none"/>
        </w:rPr>
      </w:pPr>
      <w:r w:rsidRPr="008B0E3B">
        <w:rPr>
          <w:rFonts w:ascii="Arial" w:eastAsia="Arial" w:hAnsi="Arial" w:cs="Arial"/>
          <w:b/>
          <w:bCs/>
          <w:color w:val="1F3864"/>
          <w:kern w:val="0"/>
          <w:lang w:eastAsia="en-GB"/>
          <w14:ligatures w14:val="none"/>
        </w:rPr>
        <w:t>UVAC member share</w:t>
      </w:r>
    </w:p>
    <w:p w14:paraId="608EFEA7" w14:textId="6FC36C4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HERA data confirms that UVAC members continue to dominate the highest-volume standards: 38% of Senior Leader starts and around two thirds of Chartered Manager Degree Apprenticeship (CMDA) activity in the last academic year</w:t>
      </w:r>
      <w:r>
        <w:rPr>
          <w:rFonts w:ascii="Arial" w:eastAsia="Arial" w:hAnsi="Arial" w:cs="Arial"/>
          <w:kern w:val="0"/>
          <w:sz w:val="22"/>
          <w:szCs w:val="22"/>
          <w:lang w:eastAsia="en-GB"/>
          <w14:ligatures w14:val="none"/>
        </w:rPr>
        <w:t xml:space="preserve"> (2024-2025)</w:t>
      </w:r>
      <w:r w:rsidRPr="008B0E3B">
        <w:rPr>
          <w:rFonts w:ascii="Arial" w:eastAsia="Arial" w:hAnsi="Arial" w:cs="Arial"/>
          <w:kern w:val="0"/>
          <w:sz w:val="22"/>
          <w:szCs w:val="22"/>
          <w:lang w:eastAsia="en-GB"/>
          <w14:ligatures w14:val="none"/>
        </w:rPr>
        <w:t xml:space="preserve">. Members not yet using HERA are encouraged to register and benchmark </w:t>
      </w:r>
      <w:r>
        <w:rPr>
          <w:rFonts w:ascii="Arial" w:eastAsia="Arial" w:hAnsi="Arial" w:cs="Arial"/>
          <w:kern w:val="0"/>
          <w:sz w:val="22"/>
          <w:szCs w:val="22"/>
          <w:lang w:eastAsia="en-GB"/>
          <w14:ligatures w14:val="none"/>
        </w:rPr>
        <w:t xml:space="preserve">their </w:t>
      </w:r>
      <w:r w:rsidRPr="008B0E3B">
        <w:rPr>
          <w:rFonts w:ascii="Arial" w:eastAsia="Arial" w:hAnsi="Arial" w:cs="Arial"/>
          <w:kern w:val="0"/>
          <w:sz w:val="22"/>
          <w:szCs w:val="22"/>
          <w:lang w:eastAsia="en-GB"/>
          <w14:ligatures w14:val="none"/>
        </w:rPr>
        <w:t>institutional performance against sector data.</w:t>
      </w:r>
    </w:p>
    <w:p w14:paraId="68CC3591" w14:textId="3690BF3F" w:rsidR="008B0E3B" w:rsidRPr="008B0E3B" w:rsidRDefault="008B0E3B" w:rsidP="008B0E3B">
      <w:pPr>
        <w:spacing w:before="360" w:line="240" w:lineRule="auto"/>
        <w:outlineLvl w:val="0"/>
        <w:rPr>
          <w:rFonts w:ascii="Arial" w:eastAsia="Arial" w:hAnsi="Arial" w:cs="Arial"/>
          <w:b/>
          <w:bCs/>
          <w:color w:val="1F3864"/>
          <w:kern w:val="0"/>
          <w:lang w:eastAsia="en-GB"/>
          <w14:ligatures w14:val="none"/>
        </w:rPr>
      </w:pPr>
      <w:r w:rsidRPr="008B0E3B">
        <w:rPr>
          <w:rFonts w:ascii="Arial" w:eastAsia="Arial" w:hAnsi="Arial" w:cs="Arial"/>
          <w:b/>
          <w:bCs/>
          <w:color w:val="1F3864"/>
          <w:kern w:val="0"/>
          <w:lang w:eastAsia="en-GB"/>
          <w14:ligatures w14:val="none"/>
        </w:rPr>
        <w:t xml:space="preserve">3. </w:t>
      </w:r>
      <w:r w:rsidRPr="008B0E3B">
        <w:rPr>
          <w:rFonts w:ascii="Arial" w:eastAsia="Arial" w:hAnsi="Arial" w:cs="Arial"/>
          <w:b/>
          <w:bCs/>
          <w:color w:val="1F3864"/>
          <w:kern w:val="0"/>
          <w:lang w:eastAsia="en-GB"/>
          <w14:ligatures w14:val="none"/>
        </w:rPr>
        <w:t>The Post-16 Education and Skills White Paper</w:t>
      </w:r>
    </w:p>
    <w:p w14:paraId="7D2FE0E7"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White Paper sets out a coordinated reform package framed around opportunity, parity of esteem and economic growth. It confirms several already-known directions of travel, with sharper expectations on delivery, accountability and regional impact for higher education providers.</w:t>
      </w:r>
    </w:p>
    <w:p w14:paraId="30D3E6F8" w14:textId="77777777" w:rsidR="008B0E3B" w:rsidRPr="008B0E3B"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8B0E3B">
        <w:rPr>
          <w:rFonts w:ascii="Arial" w:eastAsia="Arial" w:hAnsi="Arial" w:cs="Arial"/>
          <w:b/>
          <w:bCs/>
          <w:color w:val="1F3864"/>
          <w:kern w:val="0"/>
          <w:lang w:eastAsia="en-GB"/>
          <w14:ligatures w14:val="none"/>
        </w:rPr>
        <w:t>Key features for HE providers</w:t>
      </w:r>
    </w:p>
    <w:p w14:paraId="4C5084E5" w14:textId="402336C0"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Office for Students (</w:t>
      </w:r>
      <w:proofErr w:type="spellStart"/>
      <w:r w:rsidRPr="008B0E3B">
        <w:rPr>
          <w:rFonts w:ascii="Arial" w:eastAsia="Arial" w:hAnsi="Arial" w:cs="Arial"/>
          <w:kern w:val="0"/>
          <w:sz w:val="22"/>
          <w:szCs w:val="22"/>
          <w:lang w:eastAsia="en-GB"/>
          <w14:ligatures w14:val="none"/>
        </w:rPr>
        <w:t>OfS</w:t>
      </w:r>
      <w:proofErr w:type="spellEnd"/>
      <w:r w:rsidRPr="008B0E3B">
        <w:rPr>
          <w:rFonts w:ascii="Arial" w:eastAsia="Arial" w:hAnsi="Arial" w:cs="Arial"/>
          <w:kern w:val="0"/>
          <w:sz w:val="22"/>
          <w:szCs w:val="22"/>
          <w:lang w:eastAsia="en-GB"/>
          <w14:ligatures w14:val="none"/>
        </w:rPr>
        <w:t>) becomes the single primary regulator for all providers teaching at Level 4 and above</w:t>
      </w:r>
      <w:r w:rsidR="0068423F">
        <w:rPr>
          <w:rFonts w:ascii="Arial" w:eastAsia="Arial" w:hAnsi="Arial" w:cs="Arial"/>
          <w:kern w:val="0"/>
          <w:sz w:val="22"/>
          <w:szCs w:val="22"/>
          <w:lang w:eastAsia="en-GB"/>
          <w14:ligatures w14:val="none"/>
        </w:rPr>
        <w:t xml:space="preserve"> (the exception perhaps overlooked by the White Paper is, of course, apprenticeships)</w:t>
      </w:r>
      <w:r w:rsidRPr="008B0E3B">
        <w:rPr>
          <w:rFonts w:ascii="Arial" w:eastAsia="Arial" w:hAnsi="Arial" w:cs="Arial"/>
          <w:kern w:val="0"/>
          <w:sz w:val="22"/>
          <w:szCs w:val="22"/>
          <w:lang w:eastAsia="en-GB"/>
          <w14:ligatures w14:val="none"/>
        </w:rPr>
        <w:t>.</w:t>
      </w:r>
    </w:p>
    <w:p w14:paraId="48072600" w14:textId="45B8BFD3"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DfE</w:t>
      </w:r>
      <w:r w:rsidR="0068423F">
        <w:rPr>
          <w:rFonts w:ascii="Arial" w:eastAsia="Arial" w:hAnsi="Arial" w:cs="Arial"/>
          <w:kern w:val="0"/>
          <w:sz w:val="22"/>
          <w:szCs w:val="22"/>
          <w:lang w:eastAsia="en-GB"/>
          <w14:ligatures w14:val="none"/>
        </w:rPr>
        <w:t>/DWP</w:t>
      </w:r>
      <w:r w:rsidRPr="008B0E3B">
        <w:rPr>
          <w:rFonts w:ascii="Arial" w:eastAsia="Arial" w:hAnsi="Arial" w:cs="Arial"/>
          <w:kern w:val="0"/>
          <w:sz w:val="22"/>
          <w:szCs w:val="22"/>
          <w:lang w:eastAsia="en-GB"/>
          <w14:ligatures w14:val="none"/>
        </w:rPr>
        <w:t xml:space="preserve"> will encourage FE-HE collaboration on Level 4+ progression, including "novel alternative business models" such as federated models and partnerships.</w:t>
      </w:r>
    </w:p>
    <w:p w14:paraId="55499B8D"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Stronger expectation that HE providers articulate how they will deliver technical skills identified in Local Skills Improvement Plans.</w:t>
      </w:r>
    </w:p>
    <w:p w14:paraId="03E149FE"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A process will be developed for colleges and training providers to obtain their own awarding powers for occupationally focused Level 4 and 5 HTQs.</w:t>
      </w:r>
    </w:p>
    <w:p w14:paraId="74E0399C" w14:textId="4B43D043"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A new market monitoring function in DfE, with Skills England identifying cold spots in higher-level supply.</w:t>
      </w:r>
      <w:r w:rsidR="0068423F">
        <w:rPr>
          <w:rFonts w:ascii="Arial" w:eastAsia="Arial" w:hAnsi="Arial" w:cs="Arial"/>
          <w:kern w:val="0"/>
          <w:sz w:val="22"/>
          <w:szCs w:val="22"/>
          <w:lang w:eastAsia="en-GB"/>
          <w14:ligatures w14:val="none"/>
        </w:rPr>
        <w:t xml:space="preserve"> DfE also assumes responsibility for approval of all technical qualifications from Skills England (a role performed by </w:t>
      </w:r>
      <w:proofErr w:type="spellStart"/>
      <w:r w:rsidR="0068423F">
        <w:rPr>
          <w:rFonts w:ascii="Arial" w:eastAsia="Arial" w:hAnsi="Arial" w:cs="Arial"/>
          <w:kern w:val="0"/>
          <w:sz w:val="22"/>
          <w:szCs w:val="22"/>
          <w:lang w:eastAsia="en-GB"/>
          <w14:ligatures w14:val="none"/>
        </w:rPr>
        <w:t>IfATE</w:t>
      </w:r>
      <w:proofErr w:type="spellEnd"/>
      <w:r w:rsidR="0068423F">
        <w:rPr>
          <w:rFonts w:ascii="Arial" w:eastAsia="Arial" w:hAnsi="Arial" w:cs="Arial"/>
          <w:kern w:val="0"/>
          <w:sz w:val="22"/>
          <w:szCs w:val="22"/>
          <w:lang w:eastAsia="en-GB"/>
          <w14:ligatures w14:val="none"/>
        </w:rPr>
        <w:t xml:space="preserve"> previously).</w:t>
      </w:r>
    </w:p>
    <w:p w14:paraId="590F198B"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Strategic implications</w:t>
      </w:r>
    </w:p>
    <w:p w14:paraId="3353DDB6"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The Prime Minister's ambition for two thirds of young people to study at Level 4 or above by age 25 — whether through degrees, HTQs or apprenticeships — could mark a paradigm shift in how England frames post-16 progression. UVAC continues to argue that higher-level qualifications are needed for two thirds of workers entering priority sectors, and that universities are essential developers and providers of those programmes. The White Paper </w:t>
      </w:r>
      <w:r w:rsidRPr="008B0E3B">
        <w:rPr>
          <w:rFonts w:ascii="Arial" w:eastAsia="Arial" w:hAnsi="Arial" w:cs="Arial"/>
          <w:kern w:val="0"/>
          <w:sz w:val="22"/>
          <w:szCs w:val="22"/>
          <w:lang w:eastAsia="en-GB"/>
          <w14:ligatures w14:val="none"/>
        </w:rPr>
        <w:lastRenderedPageBreak/>
        <w:t>does not, however, set out measures for wider adult learning or a national approach to recognising prior learning.</w:t>
      </w:r>
    </w:p>
    <w:p w14:paraId="336D5E64" w14:textId="77777777" w:rsidR="008B0E3B" w:rsidRPr="008B0E3B" w:rsidRDefault="008B0E3B" w:rsidP="008B0E3B">
      <w:pPr>
        <w:pBdr>
          <w:left w:val="single" w:sz="18" w:space="12" w:color="2E74B5"/>
        </w:pBdr>
        <w:spacing w:before="120" w:line="280" w:lineRule="auto"/>
        <w:ind w:left="360" w:right="360"/>
        <w:rPr>
          <w:rFonts w:ascii="Arial" w:eastAsia="Arial" w:hAnsi="Arial" w:cs="Arial"/>
          <w:kern w:val="0"/>
          <w:sz w:val="22"/>
          <w:szCs w:val="22"/>
          <w:lang w:eastAsia="en-GB"/>
          <w14:ligatures w14:val="none"/>
        </w:rPr>
      </w:pPr>
      <w:r w:rsidRPr="008B0E3B">
        <w:rPr>
          <w:rFonts w:ascii="Arial" w:eastAsia="Arial" w:hAnsi="Arial" w:cs="Arial"/>
          <w:i/>
          <w:iCs/>
          <w:color w:val="404040"/>
          <w:kern w:val="0"/>
          <w:sz w:val="22"/>
          <w:szCs w:val="22"/>
          <w:lang w:eastAsia="en-GB"/>
          <w14:ligatures w14:val="none"/>
        </w:rPr>
        <w:t>The question is not whether universities participate in this reform — but how strategically we position ourselves within an evolving landscape that is more integrated, employer-engaged and flexible.</w:t>
      </w:r>
    </w:p>
    <w:p w14:paraId="05CB02EA" w14:textId="15D6B42E" w:rsidR="008B0E3B" w:rsidRPr="0068423F" w:rsidRDefault="0068423F" w:rsidP="008B0E3B">
      <w:pPr>
        <w:spacing w:before="360" w:line="240" w:lineRule="auto"/>
        <w:outlineLvl w:val="0"/>
        <w:rPr>
          <w:rFonts w:ascii="Arial" w:eastAsia="Arial" w:hAnsi="Arial" w:cs="Arial"/>
          <w:b/>
          <w:bCs/>
          <w:color w:val="1F3864"/>
          <w:kern w:val="0"/>
          <w:lang w:eastAsia="en-GB"/>
          <w14:ligatures w14:val="none"/>
        </w:rPr>
      </w:pPr>
      <w:r>
        <w:rPr>
          <w:rFonts w:ascii="Arial" w:eastAsia="Arial" w:hAnsi="Arial" w:cs="Arial"/>
          <w:b/>
          <w:bCs/>
          <w:color w:val="1F3864"/>
          <w:kern w:val="0"/>
          <w:lang w:eastAsia="en-GB"/>
          <w14:ligatures w14:val="none"/>
        </w:rPr>
        <w:t xml:space="preserve">4. </w:t>
      </w:r>
      <w:r w:rsidR="008B0E3B" w:rsidRPr="0068423F">
        <w:rPr>
          <w:rFonts w:ascii="Arial" w:eastAsia="Arial" w:hAnsi="Arial" w:cs="Arial"/>
          <w:b/>
          <w:bCs/>
          <w:color w:val="1F3864"/>
          <w:kern w:val="0"/>
          <w:lang w:eastAsia="en-GB"/>
          <w14:ligatures w14:val="none"/>
        </w:rPr>
        <w:t>Defunding of leadership and management apprenticeships</w:t>
      </w:r>
    </w:p>
    <w:p w14:paraId="583B83A7"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UVAC has described the decision to defund leadership and management apprenticeships as "double daft". The Skills Minister has signalled that programmes "resembling continuing professional development rather than discrete occupations" should no longer attract public funding. The confirmed decision removes vital progression routes into management for learners of all ages, including school and college leavers.</w:t>
      </w:r>
    </w:p>
    <w:p w14:paraId="7E3683CB"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 xml:space="preserve">Why </w:t>
      </w:r>
      <w:proofErr w:type="gramStart"/>
      <w:r w:rsidRPr="0068423F">
        <w:rPr>
          <w:rFonts w:ascii="Arial" w:eastAsia="Arial" w:hAnsi="Arial" w:cs="Arial"/>
          <w:b/>
          <w:bCs/>
          <w:color w:val="1F3864"/>
          <w:kern w:val="0"/>
          <w:lang w:eastAsia="en-GB"/>
          <w14:ligatures w14:val="none"/>
        </w:rPr>
        <w:t>this matters</w:t>
      </w:r>
      <w:proofErr w:type="gramEnd"/>
    </w:p>
    <w:p w14:paraId="0C6AF2B1"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Census data shows under-representation of young people in managerial roles — defunding narrows, rather than widens, that pipeline.</w:t>
      </w:r>
    </w:p>
    <w:p w14:paraId="7DED3202"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Business-facing apprenticeship starts at higher levels have grown in line with employer demand for leadership development.</w:t>
      </w:r>
    </w:p>
    <w:p w14:paraId="0FA48265" w14:textId="07A3787E"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The UK's productivity gap is widely recognised as a management capability gap; reducing leadership investment is </w:t>
      </w:r>
      <w:proofErr w:type="spellStart"/>
      <w:r w:rsidR="0068423F" w:rsidRPr="008B0E3B">
        <w:rPr>
          <w:rFonts w:ascii="Arial" w:eastAsia="Arial" w:hAnsi="Arial" w:cs="Arial"/>
          <w:kern w:val="0"/>
          <w:sz w:val="22"/>
          <w:szCs w:val="22"/>
          <w:lang w:eastAsia="en-GB"/>
          <w14:ligatures w14:val="none"/>
        </w:rPr>
        <w:t>counter productive</w:t>
      </w:r>
      <w:proofErr w:type="spellEnd"/>
      <w:r w:rsidRPr="008B0E3B">
        <w:rPr>
          <w:rFonts w:ascii="Arial" w:eastAsia="Arial" w:hAnsi="Arial" w:cs="Arial"/>
          <w:kern w:val="0"/>
          <w:sz w:val="22"/>
          <w:szCs w:val="22"/>
          <w:lang w:eastAsia="en-GB"/>
          <w14:ligatures w14:val="none"/>
        </w:rPr>
        <w:t>.</w:t>
      </w:r>
    </w:p>
    <w:p w14:paraId="352B2659"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decision risks destabilising provision, weakening employer confidence and re-entrenching debt-funded postgraduate routes as the only option.</w:t>
      </w:r>
    </w:p>
    <w:p w14:paraId="536AED03"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UVAC's position: management capability is infrastructure for productivity, not an indulgence. The relevant policy question is not whether to fund management apprenticeships, but how to ensure occupational rigour, measurable productivity outcomes, accessibility and alignment with industrial priorities.</w:t>
      </w:r>
    </w:p>
    <w:p w14:paraId="48136D46" w14:textId="5A7C9A7E" w:rsidR="008B0E3B" w:rsidRPr="0068423F" w:rsidRDefault="0068423F" w:rsidP="008B0E3B">
      <w:pPr>
        <w:spacing w:before="360" w:line="240" w:lineRule="auto"/>
        <w:outlineLvl w:val="0"/>
        <w:rPr>
          <w:rFonts w:ascii="Arial" w:eastAsia="Arial" w:hAnsi="Arial" w:cs="Arial"/>
          <w:b/>
          <w:bCs/>
          <w:color w:val="1F3864"/>
          <w:kern w:val="0"/>
          <w:lang w:eastAsia="en-GB"/>
          <w14:ligatures w14:val="none"/>
        </w:rPr>
      </w:pPr>
      <w:r>
        <w:rPr>
          <w:rFonts w:ascii="Arial" w:eastAsia="Arial" w:hAnsi="Arial" w:cs="Arial"/>
          <w:b/>
          <w:bCs/>
          <w:color w:val="1F3864"/>
          <w:kern w:val="0"/>
          <w:lang w:eastAsia="en-GB"/>
          <w14:ligatures w14:val="none"/>
        </w:rPr>
        <w:t>5</w:t>
      </w:r>
      <w:r w:rsidR="008B0E3B" w:rsidRPr="0068423F">
        <w:rPr>
          <w:rFonts w:ascii="Arial" w:eastAsia="Arial" w:hAnsi="Arial" w:cs="Arial"/>
          <w:b/>
          <w:bCs/>
          <w:color w:val="1F3864"/>
          <w:kern w:val="0"/>
          <w:lang w:eastAsia="en-GB"/>
          <w14:ligatures w14:val="none"/>
        </w:rPr>
        <w:t>. Level 7 apprenticeships: contested ground</w:t>
      </w:r>
    </w:p>
    <w:p w14:paraId="2C53E076"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Sixth Report of Session 2024-26 concluded that the overwhelming weight of evidence opposed the Government's decision not to fund Level 7 apprenticeships for those aged 22 and over through the Growth and Skills Levy. Restricting Level 7 funding does not automatically rebuild the youth pipeline; the structural challenges at Levels 2 and 3 are not caused by Level 7 provision.</w:t>
      </w:r>
    </w:p>
    <w:p w14:paraId="28D6D407"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Market behaviour</w:t>
      </w:r>
    </w:p>
    <w:p w14:paraId="5490DD1E"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Level 7 starts surged 24% in the run-up to April 2025 as employers responded rationally to funding uncertainty. FE Week reported that government departments themselves recruited heavily to Senior Leader Level 7 ahead of the 1 January 2026 funding restriction — a </w:t>
      </w:r>
      <w:r w:rsidRPr="008B0E3B">
        <w:rPr>
          <w:rFonts w:ascii="Arial" w:eastAsia="Arial" w:hAnsi="Arial" w:cs="Arial"/>
          <w:kern w:val="0"/>
          <w:sz w:val="22"/>
          <w:szCs w:val="22"/>
          <w:lang w:eastAsia="en-GB"/>
          <w14:ligatures w14:val="none"/>
        </w:rPr>
        <w:lastRenderedPageBreak/>
        <w:t>contradictory signal to the wider employer market. If Level 7 is valuable enough for central government to use at scale, the case for broader public investment is hard to dismiss.</w:t>
      </w:r>
    </w:p>
    <w:p w14:paraId="547FBA2A"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Cautious optimism on age eligibility</w:t>
      </w:r>
    </w:p>
    <w:p w14:paraId="4315B72C" w14:textId="6D7202B5"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Early signals </w:t>
      </w:r>
      <w:r w:rsidR="0068423F">
        <w:rPr>
          <w:rFonts w:ascii="Arial" w:eastAsia="Arial" w:hAnsi="Arial" w:cs="Arial"/>
          <w:kern w:val="0"/>
          <w:sz w:val="22"/>
          <w:szCs w:val="22"/>
          <w:lang w:eastAsia="en-GB"/>
          <w14:ligatures w14:val="none"/>
        </w:rPr>
        <w:t xml:space="preserve">from Skills England </w:t>
      </w:r>
      <w:r w:rsidRPr="008B0E3B">
        <w:rPr>
          <w:rFonts w:ascii="Arial" w:eastAsia="Arial" w:hAnsi="Arial" w:cs="Arial"/>
          <w:kern w:val="0"/>
          <w:sz w:val="22"/>
          <w:szCs w:val="22"/>
          <w:lang w:eastAsia="en-GB"/>
          <w14:ligatures w14:val="none"/>
        </w:rPr>
        <w:t xml:space="preserve">suggest the eligibility threshold could rise to age 25, which would restore funding for up to 90% of the </w:t>
      </w:r>
      <w:r w:rsidR="0068423F">
        <w:rPr>
          <w:rFonts w:ascii="Arial" w:eastAsia="Arial" w:hAnsi="Arial" w:cs="Arial"/>
          <w:kern w:val="0"/>
          <w:sz w:val="22"/>
          <w:szCs w:val="22"/>
          <w:lang w:eastAsia="en-GB"/>
          <w14:ligatures w14:val="none"/>
        </w:rPr>
        <w:t>previous</w:t>
      </w:r>
      <w:r w:rsidRPr="008B0E3B">
        <w:rPr>
          <w:rFonts w:ascii="Arial" w:eastAsia="Arial" w:hAnsi="Arial" w:cs="Arial"/>
          <w:kern w:val="0"/>
          <w:sz w:val="22"/>
          <w:szCs w:val="22"/>
          <w:lang w:eastAsia="en-GB"/>
          <w14:ligatures w14:val="none"/>
        </w:rPr>
        <w:t xml:space="preserve"> Level 7 offer. UVAC notes that this would be mitigation, not full restoration, and would still leave gaps for adult upskilling in an ageing workforce.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B4DD" w:themeFill="accent3" w:themeFillTint="33"/>
        <w:tblCellMar>
          <w:left w:w="10" w:type="dxa"/>
          <w:right w:w="10" w:type="dxa"/>
        </w:tblCellMar>
        <w:tblLook w:val="04A0" w:firstRow="1" w:lastRow="0" w:firstColumn="1" w:lastColumn="0" w:noHBand="0" w:noVBand="1"/>
      </w:tblPr>
      <w:tblGrid>
        <w:gridCol w:w="9360"/>
      </w:tblGrid>
      <w:tr w:rsidR="008B0E3B" w:rsidRPr="008B0E3B" w14:paraId="66CB7653" w14:textId="77777777" w:rsidTr="0068423F">
        <w:tblPrEx>
          <w:tblCellMar>
            <w:top w:w="0" w:type="dxa"/>
            <w:bottom w:w="0" w:type="dxa"/>
          </w:tblCellMar>
        </w:tblPrEx>
        <w:tc>
          <w:tcPr>
            <w:tcW w:w="9360" w:type="dxa"/>
            <w:tcBorders>
              <w:top w:val="single" w:sz="4" w:space="0" w:color="FFB4DD"/>
              <w:left w:val="single" w:sz="4" w:space="0" w:color="FFB4DD"/>
              <w:bottom w:val="single" w:sz="4" w:space="0" w:color="FFB4DD"/>
              <w:right w:val="single" w:sz="4" w:space="0" w:color="FFB4DD"/>
            </w:tcBorders>
            <w:shd w:val="clear" w:color="auto" w:fill="FFB4DD" w:themeFill="accent3" w:themeFillTint="33"/>
            <w:tcMar>
              <w:top w:w="160" w:type="dxa"/>
              <w:left w:w="200" w:type="dxa"/>
              <w:bottom w:w="160" w:type="dxa"/>
              <w:right w:w="200" w:type="dxa"/>
            </w:tcMar>
          </w:tcPr>
          <w:p w14:paraId="3320EBA0" w14:textId="77777777" w:rsidR="008B0E3B" w:rsidRPr="008B0E3B" w:rsidRDefault="008B0E3B" w:rsidP="008B0E3B">
            <w:pPr>
              <w:spacing w:after="80" w:line="240" w:lineRule="auto"/>
              <w:rPr>
                <w:rFonts w:ascii="Arial" w:eastAsia="Arial" w:hAnsi="Arial" w:cs="Arial"/>
                <w:kern w:val="0"/>
                <w:sz w:val="22"/>
                <w:szCs w:val="22"/>
                <w:lang w:eastAsia="en-GB"/>
                <w14:ligatures w14:val="none"/>
              </w:rPr>
            </w:pPr>
            <w:r w:rsidRPr="008B0E3B">
              <w:rPr>
                <w:rFonts w:ascii="Arial" w:eastAsia="Arial" w:hAnsi="Arial" w:cs="Arial"/>
                <w:b/>
                <w:bCs/>
                <w:color w:val="1F3864"/>
                <w:kern w:val="0"/>
                <w:sz w:val="22"/>
                <w:szCs w:val="22"/>
                <w:lang w:eastAsia="en-GB"/>
                <w14:ligatures w14:val="none"/>
              </w:rPr>
              <w:t>UVAC's reframed question on Level 7</w:t>
            </w:r>
          </w:p>
          <w:p w14:paraId="10FC2E66"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real question is not "Should we fund Level 7 or young people?" but how do we design a Growth and Skills Levy that:</w:t>
            </w:r>
          </w:p>
          <w:p w14:paraId="358CA74B"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 rebuilds the youth pipeline into the professions and advanced </w:t>
            </w:r>
            <w:proofErr w:type="gramStart"/>
            <w:r w:rsidRPr="008B0E3B">
              <w:rPr>
                <w:rFonts w:ascii="Arial" w:eastAsia="Arial" w:hAnsi="Arial" w:cs="Arial"/>
                <w:kern w:val="0"/>
                <w:sz w:val="22"/>
                <w:szCs w:val="22"/>
                <w:lang w:eastAsia="en-GB"/>
                <w14:ligatures w14:val="none"/>
              </w:rPr>
              <w:t>practice;</w:t>
            </w:r>
            <w:proofErr w:type="gramEnd"/>
          </w:p>
          <w:p w14:paraId="6FFAB079"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 expands employer contribution beyond the 2% who pay the </w:t>
            </w:r>
            <w:proofErr w:type="gramStart"/>
            <w:r w:rsidRPr="008B0E3B">
              <w:rPr>
                <w:rFonts w:ascii="Arial" w:eastAsia="Arial" w:hAnsi="Arial" w:cs="Arial"/>
                <w:kern w:val="0"/>
                <w:sz w:val="22"/>
                <w:szCs w:val="22"/>
                <w:lang w:eastAsia="en-GB"/>
                <w14:ligatures w14:val="none"/>
              </w:rPr>
              <w:t>levy;</w:t>
            </w:r>
            <w:proofErr w:type="gramEnd"/>
          </w:p>
          <w:p w14:paraId="7F51160D"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maintains higher-level progression; and</w:t>
            </w:r>
          </w:p>
          <w:p w14:paraId="64C7F9EA" w14:textId="77777777" w:rsidR="008B0E3B" w:rsidRPr="008B0E3B" w:rsidRDefault="008B0E3B" w:rsidP="008B0E3B">
            <w:pPr>
              <w:spacing w:after="6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supports lifelong learning across the workforce.</w:t>
            </w:r>
          </w:p>
        </w:tc>
      </w:tr>
    </w:tbl>
    <w:p w14:paraId="268732B5" w14:textId="78319377" w:rsidR="008B0E3B" w:rsidRPr="0068423F" w:rsidRDefault="0068423F" w:rsidP="008B0E3B">
      <w:pPr>
        <w:spacing w:before="360" w:line="240" w:lineRule="auto"/>
        <w:outlineLvl w:val="0"/>
        <w:rPr>
          <w:rFonts w:ascii="Arial" w:eastAsia="Arial" w:hAnsi="Arial" w:cs="Arial"/>
          <w:b/>
          <w:bCs/>
          <w:color w:val="1F3864"/>
          <w:kern w:val="0"/>
          <w:lang w:eastAsia="en-GB"/>
          <w14:ligatures w14:val="none"/>
        </w:rPr>
      </w:pPr>
      <w:r>
        <w:rPr>
          <w:rFonts w:ascii="Arial" w:eastAsia="Arial" w:hAnsi="Arial" w:cs="Arial"/>
          <w:b/>
          <w:bCs/>
          <w:color w:val="1F3864"/>
          <w:kern w:val="0"/>
          <w:lang w:eastAsia="en-GB"/>
          <w14:ligatures w14:val="none"/>
        </w:rPr>
        <w:t>6</w:t>
      </w:r>
      <w:r w:rsidR="008B0E3B" w:rsidRPr="0068423F">
        <w:rPr>
          <w:rFonts w:ascii="Arial" w:eastAsia="Arial" w:hAnsi="Arial" w:cs="Arial"/>
          <w:b/>
          <w:bCs/>
          <w:color w:val="1F3864"/>
          <w:kern w:val="0"/>
          <w:lang w:eastAsia="en-GB"/>
          <w14:ligatures w14:val="none"/>
        </w:rPr>
        <w:t>. The Growth and Skills Levy</w:t>
      </w:r>
    </w:p>
    <w:p w14:paraId="2BB11A74" w14:textId="2084FF90"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The November 2025 Budget tilted the system toward youth participation but did not provide a coherent strategy for adults already in work, or the medium-term predictability employers need. There remains a lack of clarity about the purpose of the levy: is it a skills tax, a hypothecated training fund, or a growth lever — and how does it interact with the Lifelong Learning Entitlement</w:t>
      </w:r>
      <w:r w:rsidR="0068423F">
        <w:rPr>
          <w:rFonts w:ascii="Arial" w:eastAsia="Arial" w:hAnsi="Arial" w:cs="Arial"/>
          <w:kern w:val="0"/>
          <w:sz w:val="22"/>
          <w:szCs w:val="22"/>
          <w:lang w:eastAsia="en-GB"/>
          <w14:ligatures w14:val="none"/>
        </w:rPr>
        <w:t xml:space="preserve"> (LLE)</w:t>
      </w:r>
      <w:r w:rsidRPr="008B0E3B">
        <w:rPr>
          <w:rFonts w:ascii="Arial" w:eastAsia="Arial" w:hAnsi="Arial" w:cs="Arial"/>
          <w:kern w:val="0"/>
          <w:sz w:val="22"/>
          <w:szCs w:val="22"/>
          <w:lang w:eastAsia="en-GB"/>
          <w14:ligatures w14:val="none"/>
        </w:rPr>
        <w:t>?</w:t>
      </w:r>
    </w:p>
    <w:p w14:paraId="44509FAB"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Funding context</w:t>
      </w:r>
    </w:p>
    <w:p w14:paraId="640A408E" w14:textId="566C4989"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Levy receipts are projected to reach £4 billion and potentially £5 billion by 2030, with a Treasury margin forecast of c.£1.5 billion against an apprenticeship budget of £3.3 billion. The rationale for diverting management apprenticeship funding is therefore primarily fiscal and political, not </w:t>
      </w:r>
      <w:r w:rsidR="0068423F" w:rsidRPr="008B0E3B">
        <w:rPr>
          <w:rFonts w:ascii="Arial" w:eastAsia="Arial" w:hAnsi="Arial" w:cs="Arial"/>
          <w:kern w:val="0"/>
          <w:sz w:val="22"/>
          <w:szCs w:val="22"/>
          <w:lang w:eastAsia="en-GB"/>
          <w14:ligatures w14:val="none"/>
        </w:rPr>
        <w:t>evidence based</w:t>
      </w:r>
      <w:r w:rsidRPr="008B0E3B">
        <w:rPr>
          <w:rFonts w:ascii="Arial" w:eastAsia="Arial" w:hAnsi="Arial" w:cs="Arial"/>
          <w:kern w:val="0"/>
          <w:sz w:val="22"/>
          <w:szCs w:val="22"/>
          <w:lang w:eastAsia="en-GB"/>
          <w14:ligatures w14:val="none"/>
        </w:rPr>
        <w:t xml:space="preserve">. </w:t>
      </w:r>
      <w:r w:rsidR="0068423F">
        <w:rPr>
          <w:rFonts w:ascii="Arial" w:eastAsia="Arial" w:hAnsi="Arial" w:cs="Arial"/>
          <w:kern w:val="0"/>
          <w:sz w:val="22"/>
          <w:szCs w:val="22"/>
          <w:lang w:eastAsia="en-GB"/>
          <w14:ligatures w14:val="none"/>
        </w:rPr>
        <w:t>The</w:t>
      </w:r>
      <w:r w:rsidRPr="008B0E3B">
        <w:rPr>
          <w:rFonts w:ascii="Arial" w:eastAsia="Arial" w:hAnsi="Arial" w:cs="Arial"/>
          <w:kern w:val="0"/>
          <w:sz w:val="22"/>
          <w:szCs w:val="22"/>
          <w:lang w:eastAsia="en-GB"/>
          <w14:ligatures w14:val="none"/>
        </w:rPr>
        <w:t xml:space="preserve"> eight short courses fundable from April</w:t>
      </w:r>
      <w:r w:rsidR="0068423F">
        <w:rPr>
          <w:rFonts w:ascii="Arial" w:eastAsia="Arial" w:hAnsi="Arial" w:cs="Arial"/>
          <w:kern w:val="0"/>
          <w:sz w:val="22"/>
          <w:szCs w:val="22"/>
          <w:lang w:eastAsia="en-GB"/>
          <w14:ligatures w14:val="none"/>
        </w:rPr>
        <w:t xml:space="preserve"> fall </w:t>
      </w:r>
      <w:r w:rsidRPr="008B0E3B">
        <w:rPr>
          <w:rFonts w:ascii="Arial" w:eastAsia="Arial" w:hAnsi="Arial" w:cs="Arial"/>
          <w:kern w:val="0"/>
          <w:sz w:val="22"/>
          <w:szCs w:val="22"/>
          <w:lang w:eastAsia="en-GB"/>
          <w14:ligatures w14:val="none"/>
        </w:rPr>
        <w:t>far short of the flexible skills ecosystem employers were promised.</w:t>
      </w:r>
    </w:p>
    <w:p w14:paraId="785B74D4"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UVAC's reform priorities for the levy</w:t>
      </w:r>
    </w:p>
    <w:p w14:paraId="679DE2C6" w14:textId="77777777" w:rsidR="008B0E3B" w:rsidRPr="008B0E3B" w:rsidRDefault="008B0E3B" w:rsidP="008B0E3B">
      <w:pPr>
        <w:numPr>
          <w:ilvl w:val="0"/>
          <w:numId w:val="2"/>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Expand the scope of the levy to far more employers — training should be treated as a normal business investment, not a cost borne by the largest employers and the state.</w:t>
      </w:r>
    </w:p>
    <w:p w14:paraId="2F11A637" w14:textId="77777777" w:rsidR="008B0E3B" w:rsidRPr="008B0E3B" w:rsidRDefault="008B0E3B" w:rsidP="008B0E3B">
      <w:pPr>
        <w:numPr>
          <w:ilvl w:val="0"/>
          <w:numId w:val="2"/>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Introduce a government contribution to the levy pot, reflecting the welfare savings and productivity gains generated by training.</w:t>
      </w:r>
    </w:p>
    <w:p w14:paraId="53224F1E" w14:textId="77777777" w:rsidR="008B0E3B" w:rsidRPr="008B0E3B" w:rsidRDefault="008B0E3B" w:rsidP="008B0E3B">
      <w:pPr>
        <w:numPr>
          <w:ilvl w:val="0"/>
          <w:numId w:val="2"/>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Allow individuals to contribute financially to the cost of apprenticeships and approved training — they currently cannot do so legally.</w:t>
      </w:r>
    </w:p>
    <w:p w14:paraId="66420225" w14:textId="77777777" w:rsidR="008B0E3B" w:rsidRPr="008B0E3B" w:rsidRDefault="008B0E3B" w:rsidP="008B0E3B">
      <w:pPr>
        <w:numPr>
          <w:ilvl w:val="0"/>
          <w:numId w:val="2"/>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lastRenderedPageBreak/>
        <w:t>Maintain higher-level pathways and rebuild youth participation as complementary, not competing, objectives.</w:t>
      </w:r>
    </w:p>
    <w:p w14:paraId="0D5933E4" w14:textId="77777777" w:rsidR="008B0E3B" w:rsidRPr="008B0E3B" w:rsidRDefault="008B0E3B" w:rsidP="008B0E3B">
      <w:pPr>
        <w:numPr>
          <w:ilvl w:val="0"/>
          <w:numId w:val="2"/>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Ensure SME engagement — and showcase the work HE providers already do with smaller employers.</w:t>
      </w:r>
    </w:p>
    <w:p w14:paraId="32285B44" w14:textId="42F9FCAA" w:rsidR="008B0E3B" w:rsidRPr="0068423F" w:rsidRDefault="0068423F" w:rsidP="008B0E3B">
      <w:pPr>
        <w:spacing w:before="360" w:line="240" w:lineRule="auto"/>
        <w:outlineLvl w:val="0"/>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7</w:t>
      </w:r>
      <w:r w:rsidR="008B0E3B" w:rsidRPr="0068423F">
        <w:rPr>
          <w:rFonts w:ascii="Arial" w:eastAsia="Arial" w:hAnsi="Arial" w:cs="Arial"/>
          <w:b/>
          <w:bCs/>
          <w:color w:val="1F3864"/>
          <w:kern w:val="0"/>
          <w:lang w:eastAsia="en-GB"/>
          <w14:ligatures w14:val="none"/>
        </w:rPr>
        <w:t>. Lifelong Learning Entitlement and progression pathways</w:t>
      </w:r>
    </w:p>
    <w:p w14:paraId="51420456"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LLE: enabler, not silver bullet</w:t>
      </w:r>
    </w:p>
    <w:p w14:paraId="6CAD3FC4"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The LLE signals a structural shift toward modular, credit-based learning. For universities this means genuine modularisation, flexible entry and exit points, robust credit transfer and administrative systems supporting learner mobility. Early signals are mixed: the </w:t>
      </w:r>
      <w:proofErr w:type="spellStart"/>
      <w:r w:rsidRPr="008B0E3B">
        <w:rPr>
          <w:rFonts w:ascii="Arial" w:eastAsia="Arial" w:hAnsi="Arial" w:cs="Arial"/>
          <w:kern w:val="0"/>
          <w:sz w:val="22"/>
          <w:szCs w:val="22"/>
          <w:lang w:eastAsia="en-GB"/>
          <w14:ligatures w14:val="none"/>
        </w:rPr>
        <w:t>OfS's</w:t>
      </w:r>
      <w:proofErr w:type="spellEnd"/>
      <w:r w:rsidRPr="008B0E3B">
        <w:rPr>
          <w:rFonts w:ascii="Arial" w:eastAsia="Arial" w:hAnsi="Arial" w:cs="Arial"/>
          <w:kern w:val="0"/>
          <w:sz w:val="22"/>
          <w:szCs w:val="22"/>
          <w:lang w:eastAsia="en-GB"/>
          <w14:ligatures w14:val="none"/>
        </w:rPr>
        <w:t xml:space="preserve"> short course trial attracted just 41 participants, and the £5m Modular Acceleration Programme failed to deliver clear lessons. Most concerning, some universities have failed to meet the </w:t>
      </w:r>
      <w:proofErr w:type="spellStart"/>
      <w:r w:rsidRPr="008B0E3B">
        <w:rPr>
          <w:rFonts w:ascii="Arial" w:eastAsia="Arial" w:hAnsi="Arial" w:cs="Arial"/>
          <w:kern w:val="0"/>
          <w:sz w:val="22"/>
          <w:szCs w:val="22"/>
          <w:lang w:eastAsia="en-GB"/>
          <w14:ligatures w14:val="none"/>
        </w:rPr>
        <w:t>OfS</w:t>
      </w:r>
      <w:proofErr w:type="spellEnd"/>
      <w:r w:rsidRPr="008B0E3B">
        <w:rPr>
          <w:rFonts w:ascii="Arial" w:eastAsia="Arial" w:hAnsi="Arial" w:cs="Arial"/>
          <w:kern w:val="0"/>
          <w:sz w:val="22"/>
          <w:szCs w:val="22"/>
          <w:lang w:eastAsia="en-GB"/>
          <w14:ligatures w14:val="none"/>
        </w:rPr>
        <w:t xml:space="preserve"> criteria for the two registration categories required to deliver under LLE — a regulatory hurdle that has received less attention than learner-side barriers.</w:t>
      </w:r>
    </w:p>
    <w:p w14:paraId="4D742AF4"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Level 3 reform: A, T and a new "V"</w:t>
      </w:r>
    </w:p>
    <w:p w14:paraId="7CA0A9EE" w14:textId="60DF1C15"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Government plans to introduce a new "V-level" alongside A and T levels, with one V level per subject at 360 GLH. Some commentators see this as recreating a tripartite division of the upper secondary curriculum. More positively, the response to the post-16 qualifications consultation (10 March</w:t>
      </w:r>
      <w:r w:rsidR="0068423F">
        <w:rPr>
          <w:rFonts w:ascii="Arial" w:eastAsia="Arial" w:hAnsi="Arial" w:cs="Arial"/>
          <w:kern w:val="0"/>
          <w:sz w:val="22"/>
          <w:szCs w:val="22"/>
          <w:lang w:eastAsia="en-GB"/>
          <w14:ligatures w14:val="none"/>
        </w:rPr>
        <w:t xml:space="preserve"> 2026</w:t>
      </w:r>
      <w:r w:rsidRPr="008B0E3B">
        <w:rPr>
          <w:rFonts w:ascii="Arial" w:eastAsia="Arial" w:hAnsi="Arial" w:cs="Arial"/>
          <w:kern w:val="0"/>
          <w:sz w:val="22"/>
          <w:szCs w:val="22"/>
          <w:lang w:eastAsia="en-GB"/>
          <w14:ligatures w14:val="none"/>
        </w:rPr>
        <w:t xml:space="preserve">) confirmed a pause to defunding of </w:t>
      </w:r>
      <w:r w:rsidR="0068423F">
        <w:rPr>
          <w:rFonts w:ascii="Arial" w:eastAsia="Arial" w:hAnsi="Arial" w:cs="Arial"/>
          <w:kern w:val="0"/>
          <w:sz w:val="22"/>
          <w:szCs w:val="22"/>
          <w:lang w:eastAsia="en-GB"/>
          <w14:ligatures w14:val="none"/>
        </w:rPr>
        <w:t xml:space="preserve">Applied General </w:t>
      </w:r>
      <w:r w:rsidRPr="008B0E3B">
        <w:rPr>
          <w:rFonts w:ascii="Arial" w:eastAsia="Arial" w:hAnsi="Arial" w:cs="Arial"/>
          <w:kern w:val="0"/>
          <w:sz w:val="22"/>
          <w:szCs w:val="22"/>
          <w:lang w:eastAsia="en-GB"/>
          <w14:ligatures w14:val="none"/>
        </w:rPr>
        <w:t xml:space="preserve">qualifications in T level subjects — a win for the Protect Student Choice campaign of which UVAC is a founding </w:t>
      </w:r>
      <w:r w:rsidR="0068423F">
        <w:rPr>
          <w:rFonts w:ascii="Arial" w:eastAsia="Arial" w:hAnsi="Arial" w:cs="Arial"/>
          <w:kern w:val="0"/>
          <w:sz w:val="22"/>
          <w:szCs w:val="22"/>
          <w:lang w:eastAsia="en-GB"/>
          <w14:ligatures w14:val="none"/>
        </w:rPr>
        <w:t xml:space="preserve">signatory and </w:t>
      </w:r>
      <w:r w:rsidRPr="008B0E3B">
        <w:rPr>
          <w:rFonts w:ascii="Arial" w:eastAsia="Arial" w:hAnsi="Arial" w:cs="Arial"/>
          <w:kern w:val="0"/>
          <w:sz w:val="22"/>
          <w:szCs w:val="22"/>
          <w:lang w:eastAsia="en-GB"/>
          <w14:ligatures w14:val="none"/>
        </w:rPr>
        <w:t xml:space="preserve">member. Around 300,000 </w:t>
      </w:r>
      <w:r w:rsidR="0068423F" w:rsidRPr="008B0E3B">
        <w:rPr>
          <w:rFonts w:ascii="Arial" w:eastAsia="Arial" w:hAnsi="Arial" w:cs="Arial"/>
          <w:kern w:val="0"/>
          <w:sz w:val="22"/>
          <w:szCs w:val="22"/>
          <w:lang w:eastAsia="en-GB"/>
          <w14:ligatures w14:val="none"/>
        </w:rPr>
        <w:t>16–19-year-olds</w:t>
      </w:r>
      <w:r w:rsidRPr="008B0E3B">
        <w:rPr>
          <w:rFonts w:ascii="Arial" w:eastAsia="Arial" w:hAnsi="Arial" w:cs="Arial"/>
          <w:kern w:val="0"/>
          <w:sz w:val="22"/>
          <w:szCs w:val="22"/>
          <w:lang w:eastAsia="en-GB"/>
          <w14:ligatures w14:val="none"/>
        </w:rPr>
        <w:t xml:space="preserve"> will benefit from extended availability of qualifications including the Health and Social Care extended diploma.</w:t>
      </w:r>
    </w:p>
    <w:p w14:paraId="3AA400C1" w14:textId="77777777" w:rsidR="008B0E3B" w:rsidRPr="0068423F" w:rsidRDefault="008B0E3B" w:rsidP="008B0E3B">
      <w:pPr>
        <w:spacing w:before="240" w:after="120" w:line="240" w:lineRule="auto"/>
        <w:outlineLvl w:val="1"/>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Approval of technical qualifications</w:t>
      </w:r>
    </w:p>
    <w:p w14:paraId="40BDB82A"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From 5 March 2026, approval powers for technical qualifications transferred from Skills England to DfE, including for Higher Technical Qualifications. The stated rationale is to simplify a "complex, duplicative" tripartite system involving Skills England, Ofqual and DfE.</w:t>
      </w:r>
    </w:p>
    <w:p w14:paraId="494F0B1C" w14:textId="6A74608F" w:rsidR="008B0E3B" w:rsidRPr="0068423F" w:rsidRDefault="0068423F" w:rsidP="008B0E3B">
      <w:pPr>
        <w:spacing w:before="360" w:line="240" w:lineRule="auto"/>
        <w:outlineLvl w:val="0"/>
        <w:rPr>
          <w:rFonts w:ascii="Arial" w:eastAsia="Arial" w:hAnsi="Arial" w:cs="Arial"/>
          <w:b/>
          <w:bCs/>
          <w:color w:val="1F3864"/>
          <w:kern w:val="0"/>
          <w:lang w:eastAsia="en-GB"/>
          <w14:ligatures w14:val="none"/>
        </w:rPr>
      </w:pPr>
      <w:r w:rsidRPr="0068423F">
        <w:rPr>
          <w:rFonts w:ascii="Arial" w:eastAsia="Arial" w:hAnsi="Arial" w:cs="Arial"/>
          <w:b/>
          <w:bCs/>
          <w:color w:val="1F3864"/>
          <w:kern w:val="0"/>
          <w:lang w:eastAsia="en-GB"/>
          <w14:ligatures w14:val="none"/>
        </w:rPr>
        <w:t>8</w:t>
      </w:r>
      <w:r w:rsidR="008B0E3B" w:rsidRPr="0068423F">
        <w:rPr>
          <w:rFonts w:ascii="Arial" w:eastAsia="Arial" w:hAnsi="Arial" w:cs="Arial"/>
          <w:b/>
          <w:bCs/>
          <w:color w:val="1F3864"/>
          <w:kern w:val="0"/>
          <w:lang w:eastAsia="en-GB"/>
          <w14:ligatures w14:val="none"/>
        </w:rPr>
        <w:t>. What this means for UVAC members — calls to action</w:t>
      </w:r>
    </w:p>
    <w:p w14:paraId="786A0191"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Members are encouraged to act in five practical areas to navigate the harm and capture the opportunities arising from the current policy environment.</w:t>
      </w:r>
    </w:p>
    <w:p w14:paraId="15CB140F" w14:textId="77777777" w:rsidR="008B0E3B" w:rsidRPr="00651AC3" w:rsidRDefault="008B0E3B" w:rsidP="00651AC3">
      <w:pPr>
        <w:spacing w:before="360" w:line="240" w:lineRule="auto"/>
        <w:outlineLvl w:val="0"/>
        <w:rPr>
          <w:rFonts w:ascii="Arial" w:eastAsia="Arial" w:hAnsi="Arial" w:cs="Arial"/>
          <w:b/>
          <w:bCs/>
          <w:color w:val="1F3864"/>
          <w:kern w:val="0"/>
          <w:lang w:eastAsia="en-GB"/>
          <w14:ligatures w14:val="none"/>
        </w:rPr>
      </w:pPr>
      <w:r w:rsidRPr="00651AC3">
        <w:rPr>
          <w:rFonts w:ascii="Arial" w:eastAsia="Arial" w:hAnsi="Arial" w:cs="Arial"/>
          <w:b/>
          <w:bCs/>
          <w:color w:val="1F3864"/>
          <w:kern w:val="0"/>
          <w:lang w:eastAsia="en-GB"/>
          <w14:ligatures w14:val="none"/>
        </w:rPr>
        <w:t>Action 1: Use HERA — and use it strategically</w:t>
      </w:r>
    </w:p>
    <w:p w14:paraId="2ACD4B02"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Register if you have not already; benchmark performance and identify market opportunities revealed by Level 7 and management defunding.</w:t>
      </w:r>
    </w:p>
    <w:p w14:paraId="20C3511D"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lastRenderedPageBreak/>
        <w:t>Use HERA insights in conversations with employer partners about future demand and provision mix.</w:t>
      </w:r>
    </w:p>
    <w:p w14:paraId="000B80A8" w14:textId="77777777" w:rsidR="008B0E3B" w:rsidRPr="00651AC3" w:rsidRDefault="008B0E3B" w:rsidP="00651AC3">
      <w:pPr>
        <w:spacing w:before="360" w:line="240" w:lineRule="auto"/>
        <w:outlineLvl w:val="0"/>
        <w:rPr>
          <w:rFonts w:ascii="Arial" w:eastAsia="Arial" w:hAnsi="Arial" w:cs="Arial"/>
          <w:b/>
          <w:bCs/>
          <w:color w:val="1F3864"/>
          <w:kern w:val="0"/>
          <w:lang w:eastAsia="en-GB"/>
          <w14:ligatures w14:val="none"/>
        </w:rPr>
      </w:pPr>
      <w:r w:rsidRPr="00651AC3">
        <w:rPr>
          <w:rFonts w:ascii="Arial" w:eastAsia="Arial" w:hAnsi="Arial" w:cs="Arial"/>
          <w:b/>
          <w:bCs/>
          <w:color w:val="1F3864"/>
          <w:kern w:val="0"/>
          <w:lang w:eastAsia="en-GB"/>
          <w14:ligatures w14:val="none"/>
        </w:rPr>
        <w:t>Action 2: Plan for the Level 7 transition</w:t>
      </w:r>
    </w:p>
    <w:p w14:paraId="54536C92"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Model the impact of an age-25 eligibility threshold, should it be confirmed, against your current Level 7 portfolio.</w:t>
      </w:r>
    </w:p>
    <w:p w14:paraId="1F78F815"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Engage employers — particularly in health, policing, education and advanced practice — on co-investment options.</w:t>
      </w:r>
    </w:p>
    <w:p w14:paraId="7ED1F2F9"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Document the productivity, public service and social mobility outcomes of your Level 7 provision to support the continuing case to government.</w:t>
      </w:r>
    </w:p>
    <w:p w14:paraId="5763473F" w14:textId="77777777" w:rsidR="008B0E3B" w:rsidRPr="00651AC3" w:rsidRDefault="008B0E3B" w:rsidP="00651AC3">
      <w:pPr>
        <w:spacing w:before="360" w:line="240" w:lineRule="auto"/>
        <w:outlineLvl w:val="0"/>
        <w:rPr>
          <w:rFonts w:ascii="Arial" w:eastAsia="Arial" w:hAnsi="Arial" w:cs="Arial"/>
          <w:b/>
          <w:bCs/>
          <w:color w:val="1F3864"/>
          <w:kern w:val="0"/>
          <w:lang w:eastAsia="en-GB"/>
          <w14:ligatures w14:val="none"/>
        </w:rPr>
      </w:pPr>
      <w:r w:rsidRPr="00651AC3">
        <w:rPr>
          <w:rFonts w:ascii="Arial" w:eastAsia="Arial" w:hAnsi="Arial" w:cs="Arial"/>
          <w:b/>
          <w:bCs/>
          <w:color w:val="1F3864"/>
          <w:kern w:val="0"/>
          <w:lang w:eastAsia="en-GB"/>
          <w14:ligatures w14:val="none"/>
        </w:rPr>
        <w:t>Action 3: Reposition leadership and management provision</w:t>
      </w:r>
    </w:p>
    <w:p w14:paraId="16B1216B"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Reframe leadership development as productivity infrastructure in conversations with employer partners and policymakers.</w:t>
      </w:r>
    </w:p>
    <w:p w14:paraId="245BBE12"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Strengthen evidence on occupational rigour, alignment with industrial priorities and progression outcomes for younger entrants.</w:t>
      </w:r>
    </w:p>
    <w:p w14:paraId="6E9774DB"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Maintain employer confidence by communicating proactively about delivery continuity and alternative pathways.</w:t>
      </w:r>
    </w:p>
    <w:p w14:paraId="436AD7DD" w14:textId="77777777" w:rsidR="008B0E3B" w:rsidRPr="00651AC3" w:rsidRDefault="008B0E3B" w:rsidP="00651AC3">
      <w:pPr>
        <w:spacing w:before="360" w:line="240" w:lineRule="auto"/>
        <w:outlineLvl w:val="0"/>
        <w:rPr>
          <w:rFonts w:ascii="Arial" w:eastAsia="Arial" w:hAnsi="Arial" w:cs="Arial"/>
          <w:b/>
          <w:bCs/>
          <w:color w:val="1F3864"/>
          <w:kern w:val="0"/>
          <w:lang w:eastAsia="en-GB"/>
          <w14:ligatures w14:val="none"/>
        </w:rPr>
      </w:pPr>
      <w:r w:rsidRPr="00651AC3">
        <w:rPr>
          <w:rFonts w:ascii="Arial" w:eastAsia="Arial" w:hAnsi="Arial" w:cs="Arial"/>
          <w:b/>
          <w:bCs/>
          <w:color w:val="1F3864"/>
          <w:kern w:val="0"/>
          <w:lang w:eastAsia="en-GB"/>
          <w14:ligatures w14:val="none"/>
        </w:rPr>
        <w:t>Action 4: Get LLE and HTQ-ready</w:t>
      </w:r>
    </w:p>
    <w:p w14:paraId="74E81F1C"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Audit modularisation: are existing programmes genuinely modular, or repackaged? Address credit transfer, entry and exit points, and learner mobility systems.</w:t>
      </w:r>
    </w:p>
    <w:p w14:paraId="07FE6F9C"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Confirm </w:t>
      </w:r>
      <w:proofErr w:type="spellStart"/>
      <w:r w:rsidRPr="008B0E3B">
        <w:rPr>
          <w:rFonts w:ascii="Arial" w:eastAsia="Arial" w:hAnsi="Arial" w:cs="Arial"/>
          <w:kern w:val="0"/>
          <w:sz w:val="22"/>
          <w:szCs w:val="22"/>
          <w:lang w:eastAsia="en-GB"/>
          <w14:ligatures w14:val="none"/>
        </w:rPr>
        <w:t>OfS</w:t>
      </w:r>
      <w:proofErr w:type="spellEnd"/>
      <w:r w:rsidRPr="008B0E3B">
        <w:rPr>
          <w:rFonts w:ascii="Arial" w:eastAsia="Arial" w:hAnsi="Arial" w:cs="Arial"/>
          <w:kern w:val="0"/>
          <w:sz w:val="22"/>
          <w:szCs w:val="22"/>
          <w:lang w:eastAsia="en-GB"/>
          <w14:ligatures w14:val="none"/>
        </w:rPr>
        <w:t xml:space="preserve"> registration status for LLE delivery — particularly the approved and approved fee cap categories — and prepare for the next round of applications.</w:t>
      </w:r>
    </w:p>
    <w:p w14:paraId="470C5F81"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Position HTQ provision against Local Skills Improvement Plans and the IS-8+2 priority sectors.</w:t>
      </w:r>
    </w:p>
    <w:p w14:paraId="40B8BBAB" w14:textId="77777777" w:rsidR="008B0E3B" w:rsidRPr="00651AC3" w:rsidRDefault="008B0E3B" w:rsidP="00651AC3">
      <w:pPr>
        <w:spacing w:before="360" w:line="240" w:lineRule="auto"/>
        <w:outlineLvl w:val="0"/>
        <w:rPr>
          <w:rFonts w:ascii="Arial" w:eastAsia="Arial" w:hAnsi="Arial" w:cs="Arial"/>
          <w:b/>
          <w:bCs/>
          <w:color w:val="1F3864"/>
          <w:kern w:val="0"/>
          <w:lang w:eastAsia="en-GB"/>
          <w14:ligatures w14:val="none"/>
        </w:rPr>
      </w:pPr>
      <w:r w:rsidRPr="00651AC3">
        <w:rPr>
          <w:rFonts w:ascii="Arial" w:eastAsia="Arial" w:hAnsi="Arial" w:cs="Arial"/>
          <w:b/>
          <w:bCs/>
          <w:color w:val="1F3864"/>
          <w:kern w:val="0"/>
          <w:lang w:eastAsia="en-GB"/>
          <w14:ligatures w14:val="none"/>
        </w:rPr>
        <w:t>Action 5: Use UVAC channels to influence and engage</w:t>
      </w:r>
    </w:p>
    <w:p w14:paraId="0A0466DE"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Respond to the member services survey to shape next year's programme.</w:t>
      </w:r>
    </w:p>
    <w:p w14:paraId="65EAFAA8"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 xml:space="preserve">Contribute to UVAC's ongoing engagement with Skills England, DfE/DWP, </w:t>
      </w:r>
      <w:proofErr w:type="spellStart"/>
      <w:r w:rsidRPr="008B0E3B">
        <w:rPr>
          <w:rFonts w:ascii="Arial" w:eastAsia="Arial" w:hAnsi="Arial" w:cs="Arial"/>
          <w:kern w:val="0"/>
          <w:sz w:val="22"/>
          <w:szCs w:val="22"/>
          <w:lang w:eastAsia="en-GB"/>
          <w14:ligatures w14:val="none"/>
        </w:rPr>
        <w:t>Ofs</w:t>
      </w:r>
      <w:proofErr w:type="spellEnd"/>
      <w:r w:rsidRPr="008B0E3B">
        <w:rPr>
          <w:rFonts w:ascii="Arial" w:eastAsia="Arial" w:hAnsi="Arial" w:cs="Arial"/>
          <w:kern w:val="0"/>
          <w:sz w:val="22"/>
          <w:szCs w:val="22"/>
          <w:lang w:eastAsia="en-GB"/>
          <w14:ligatures w14:val="none"/>
        </w:rPr>
        <w:t xml:space="preserve"> and the joint strategy unit on the Growth and Skills Levy and LLE interface.</w:t>
      </w:r>
    </w:p>
    <w:p w14:paraId="029EFF16"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Take up the new UVAC contract for services, member guidance and training plan reflecting the changes to funding rules — and feed in views on the next release of fundable units.</w:t>
      </w:r>
    </w:p>
    <w:p w14:paraId="43B6DBE4" w14:textId="77777777" w:rsidR="00651AC3" w:rsidRDefault="00651AC3">
      <w:pPr>
        <w:rPr>
          <w:rFonts w:ascii="Arial" w:eastAsia="Arial" w:hAnsi="Arial" w:cs="Arial"/>
          <w:b/>
          <w:bCs/>
          <w:color w:val="1F3864"/>
          <w:kern w:val="0"/>
          <w:lang w:eastAsia="en-GB"/>
          <w14:ligatures w14:val="none"/>
        </w:rPr>
      </w:pPr>
      <w:r>
        <w:rPr>
          <w:rFonts w:ascii="Arial" w:eastAsia="Arial" w:hAnsi="Arial" w:cs="Arial"/>
          <w:b/>
          <w:bCs/>
          <w:color w:val="1F3864"/>
          <w:kern w:val="0"/>
          <w:lang w:eastAsia="en-GB"/>
          <w14:ligatures w14:val="none"/>
        </w:rPr>
        <w:br w:type="page"/>
      </w:r>
    </w:p>
    <w:p w14:paraId="28ACB2BB" w14:textId="3E32F391" w:rsidR="008B0E3B" w:rsidRPr="00651AC3" w:rsidRDefault="00651AC3" w:rsidP="008B0E3B">
      <w:pPr>
        <w:spacing w:before="360" w:line="240" w:lineRule="auto"/>
        <w:outlineLvl w:val="0"/>
        <w:rPr>
          <w:rFonts w:ascii="Arial" w:eastAsia="Arial" w:hAnsi="Arial" w:cs="Arial"/>
          <w:b/>
          <w:bCs/>
          <w:color w:val="1F3864"/>
          <w:kern w:val="0"/>
          <w:lang w:eastAsia="en-GB"/>
          <w14:ligatures w14:val="none"/>
        </w:rPr>
      </w:pPr>
      <w:r w:rsidRPr="00651AC3">
        <w:rPr>
          <w:rFonts w:ascii="Arial" w:eastAsia="Arial" w:hAnsi="Arial" w:cs="Arial"/>
          <w:b/>
          <w:bCs/>
          <w:color w:val="1F3864"/>
          <w:kern w:val="0"/>
          <w:lang w:eastAsia="en-GB"/>
          <w14:ligatures w14:val="none"/>
        </w:rPr>
        <w:lastRenderedPageBreak/>
        <w:t>9</w:t>
      </w:r>
      <w:r w:rsidR="008B0E3B" w:rsidRPr="00651AC3">
        <w:rPr>
          <w:rFonts w:ascii="Arial" w:eastAsia="Arial" w:hAnsi="Arial" w:cs="Arial"/>
          <w:b/>
          <w:bCs/>
          <w:color w:val="1F3864"/>
          <w:kern w:val="0"/>
          <w:lang w:eastAsia="en-GB"/>
          <w14:ligatures w14:val="none"/>
        </w:rPr>
        <w:t>. UVAC's consistent position</w:t>
      </w:r>
    </w:p>
    <w:p w14:paraId="04516B35" w14:textId="77777777" w:rsidR="008B0E3B" w:rsidRPr="008B0E3B" w:rsidRDefault="008B0E3B" w:rsidP="008B0E3B">
      <w:pPr>
        <w:spacing w:after="120" w:line="30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Through its members, UVAC continues to stand for:</w:t>
      </w:r>
    </w:p>
    <w:p w14:paraId="428A8E5F"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A genuinely balanced, all-age, all-level apprenticeship and skills system.</w:t>
      </w:r>
    </w:p>
    <w:p w14:paraId="58849C3D"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Degree apprenticeships as bridges into the professions.</w:t>
      </w:r>
    </w:p>
    <w:p w14:paraId="726AC62B"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Higher technical pathways aligned to the Industrial Strategy and key sectors of growth.</w:t>
      </w:r>
    </w:p>
    <w:p w14:paraId="0541630D"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Progression routes into higher-paid careers for everyone, in and through work.</w:t>
      </w:r>
    </w:p>
    <w:p w14:paraId="38818DC4"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Levy reform that expands investment — not redistributes scarcity.</w:t>
      </w:r>
    </w:p>
    <w:p w14:paraId="5D2859D7" w14:textId="77777777" w:rsidR="008B0E3B" w:rsidRPr="008B0E3B" w:rsidRDefault="008B0E3B" w:rsidP="008B0E3B">
      <w:pPr>
        <w:numPr>
          <w:ilvl w:val="0"/>
          <w:numId w:val="1"/>
        </w:numPr>
        <w:spacing w:after="80" w:line="280" w:lineRule="auto"/>
        <w:rPr>
          <w:rFonts w:ascii="Arial" w:eastAsia="Arial" w:hAnsi="Arial" w:cs="Arial"/>
          <w:kern w:val="0"/>
          <w:sz w:val="22"/>
          <w:szCs w:val="22"/>
          <w:lang w:eastAsia="en-GB"/>
          <w14:ligatures w14:val="none"/>
        </w:rPr>
      </w:pPr>
      <w:r w:rsidRPr="008B0E3B">
        <w:rPr>
          <w:rFonts w:ascii="Arial" w:eastAsia="Arial" w:hAnsi="Arial" w:cs="Arial"/>
          <w:kern w:val="0"/>
          <w:sz w:val="22"/>
          <w:szCs w:val="22"/>
          <w:lang w:eastAsia="en-GB"/>
          <w14:ligatures w14:val="none"/>
        </w:rPr>
        <w:t>Explicit inclusion of apprenticeships within the Government's flagship two-thirds-at-Level-4-by-25 ambition, so that parity of esteem becomes substance, not rhetoric.</w:t>
      </w:r>
    </w:p>
    <w:p w14:paraId="700B6B70" w14:textId="1A1789CE" w:rsidR="008B0E3B" w:rsidRPr="008B0E3B" w:rsidRDefault="008B0E3B" w:rsidP="008B0E3B">
      <w:pPr>
        <w:pBdr>
          <w:left w:val="single" w:sz="18" w:space="12" w:color="2E74B5"/>
        </w:pBdr>
        <w:spacing w:before="120" w:line="280" w:lineRule="auto"/>
        <w:ind w:left="360" w:right="360"/>
        <w:rPr>
          <w:rFonts w:ascii="Arial" w:eastAsia="Arial" w:hAnsi="Arial" w:cs="Arial"/>
          <w:kern w:val="0"/>
          <w:sz w:val="22"/>
          <w:szCs w:val="22"/>
          <w:lang w:eastAsia="en-GB"/>
          <w14:ligatures w14:val="none"/>
        </w:rPr>
      </w:pPr>
      <w:r w:rsidRPr="008B0E3B">
        <w:rPr>
          <w:rFonts w:ascii="Arial" w:eastAsia="Arial" w:hAnsi="Arial" w:cs="Arial"/>
          <w:i/>
          <w:iCs/>
          <w:color w:val="404040"/>
          <w:kern w:val="0"/>
          <w:sz w:val="22"/>
          <w:szCs w:val="22"/>
          <w:lang w:eastAsia="en-GB"/>
          <w14:ligatures w14:val="none"/>
        </w:rPr>
        <w:t xml:space="preserve">Universities are not the problem in apprenticeships. They are part of the solution. The future of the </w:t>
      </w:r>
      <w:r w:rsidR="00651AC3">
        <w:rPr>
          <w:rFonts w:ascii="Arial" w:eastAsia="Arial" w:hAnsi="Arial" w:cs="Arial"/>
          <w:i/>
          <w:iCs/>
          <w:color w:val="404040"/>
          <w:kern w:val="0"/>
          <w:sz w:val="22"/>
          <w:szCs w:val="22"/>
          <w:lang w:eastAsia="en-GB"/>
          <w14:ligatures w14:val="none"/>
        </w:rPr>
        <w:t>Growth and Skill L</w:t>
      </w:r>
      <w:r w:rsidRPr="008B0E3B">
        <w:rPr>
          <w:rFonts w:ascii="Arial" w:eastAsia="Arial" w:hAnsi="Arial" w:cs="Arial"/>
          <w:i/>
          <w:iCs/>
          <w:color w:val="404040"/>
          <w:kern w:val="0"/>
          <w:sz w:val="22"/>
          <w:szCs w:val="22"/>
          <w:lang w:eastAsia="en-GB"/>
          <w14:ligatures w14:val="none"/>
        </w:rPr>
        <w:t>evy must reflect that.</w:t>
      </w:r>
    </w:p>
    <w:p w14:paraId="01259BD5" w14:textId="77777777" w:rsidR="008B0E3B" w:rsidRPr="008B0E3B" w:rsidRDefault="008B0E3B" w:rsidP="008B0E3B">
      <w:pPr>
        <w:pBdr>
          <w:bottom w:val="single" w:sz="6" w:space="4" w:color="2E74B5"/>
        </w:pBdr>
        <w:spacing w:before="80" w:after="200" w:line="240" w:lineRule="auto"/>
        <w:rPr>
          <w:rFonts w:ascii="Arial" w:eastAsia="Arial" w:hAnsi="Arial" w:cs="Arial"/>
          <w:kern w:val="0"/>
          <w:sz w:val="22"/>
          <w:szCs w:val="22"/>
          <w:lang w:eastAsia="en-GB"/>
          <w14:ligatures w14:val="none"/>
        </w:rPr>
      </w:pPr>
    </w:p>
    <w:p w14:paraId="1AD7DC53" w14:textId="77777777" w:rsidR="008B0E3B" w:rsidRPr="008B0E3B" w:rsidRDefault="008B0E3B" w:rsidP="008B0E3B">
      <w:pPr>
        <w:spacing w:before="200" w:after="0" w:line="240" w:lineRule="auto"/>
        <w:rPr>
          <w:rFonts w:ascii="Arial" w:eastAsia="Arial" w:hAnsi="Arial" w:cs="Arial"/>
          <w:kern w:val="0"/>
          <w:sz w:val="22"/>
          <w:szCs w:val="22"/>
          <w:lang w:eastAsia="en-GB"/>
          <w14:ligatures w14:val="none"/>
        </w:rPr>
      </w:pPr>
      <w:r w:rsidRPr="008B0E3B">
        <w:rPr>
          <w:rFonts w:ascii="Arial" w:eastAsia="Arial" w:hAnsi="Arial" w:cs="Arial"/>
          <w:b/>
          <w:bCs/>
          <w:color w:val="595959"/>
          <w:kern w:val="0"/>
          <w:sz w:val="18"/>
          <w:szCs w:val="18"/>
          <w:lang w:eastAsia="en-GB"/>
          <w14:ligatures w14:val="none"/>
        </w:rPr>
        <w:t xml:space="preserve">About this briefing. </w:t>
      </w:r>
      <w:r w:rsidRPr="008B0E3B">
        <w:rPr>
          <w:rFonts w:ascii="Arial" w:eastAsia="Arial" w:hAnsi="Arial" w:cs="Arial"/>
          <w:color w:val="595959"/>
          <w:kern w:val="0"/>
          <w:sz w:val="18"/>
          <w:szCs w:val="18"/>
          <w:lang w:eastAsia="en-GB"/>
          <w14:ligatures w14:val="none"/>
        </w:rPr>
        <w:t>Prepared for members of the University Vocational Awards Council (</w:t>
      </w:r>
      <w:r w:rsidRPr="008B0E3B">
        <w:rPr>
          <w:rFonts w:ascii="Arial" w:eastAsia="Arial" w:hAnsi="Arial" w:cs="Arial"/>
          <w:color w:val="2E74B5"/>
          <w:kern w:val="0"/>
          <w:sz w:val="18"/>
          <w:szCs w:val="18"/>
          <w:lang w:eastAsia="en-GB"/>
          <w14:ligatures w14:val="none"/>
        </w:rPr>
        <w:t>www.uvac.ac.uk</w:t>
      </w:r>
      <w:r w:rsidRPr="008B0E3B">
        <w:rPr>
          <w:rFonts w:ascii="Arial" w:eastAsia="Arial" w:hAnsi="Arial" w:cs="Arial"/>
          <w:color w:val="595959"/>
          <w:kern w:val="0"/>
          <w:sz w:val="18"/>
          <w:szCs w:val="18"/>
          <w:lang w:eastAsia="en-GB"/>
          <w14:ligatures w14:val="none"/>
        </w:rPr>
        <w:t>) from the State of the Nation update of 17 April 2026. For supporting analysis and UVAC's published responses, see coverage in FE Week.</w:t>
      </w:r>
    </w:p>
    <w:p w14:paraId="5DBBFEA9" w14:textId="140E5418" w:rsidR="00935938" w:rsidRPr="00935938" w:rsidRDefault="00935938" w:rsidP="00935938"/>
    <w:sectPr w:rsidR="00935938" w:rsidRPr="00935938" w:rsidSect="00935938">
      <w:headerReference w:type="default" r:id="rId7"/>
      <w:footerReference w:type="even" r:id="rId8"/>
      <w:footerReference w:type="default" r:id="rId9"/>
      <w:pgSz w:w="11906" w:h="16838"/>
      <w:pgMar w:top="2552"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AC9F" w14:textId="77777777" w:rsidR="00CA24A7" w:rsidRDefault="00CA24A7" w:rsidP="00DB1FDB">
      <w:r>
        <w:separator/>
      </w:r>
    </w:p>
  </w:endnote>
  <w:endnote w:type="continuationSeparator" w:id="0">
    <w:p w14:paraId="61FFB5DE" w14:textId="77777777" w:rsidR="00CA24A7" w:rsidRDefault="00CA24A7" w:rsidP="00DB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panose1 w:val="020B0604020202020204"/>
    <w:charset w:val="00"/>
    <w:family w:val="auto"/>
    <w:pitch w:val="variable"/>
    <w:sig w:usb0="E0000AFF" w:usb1="5200A1FF" w:usb2="00000021" w:usb3="00000000" w:csb0="0000019F" w:csb1="00000000"/>
  </w:font>
  <w:font w:name="Inter Light">
    <w:panose1 w:val="020B0604020202020204"/>
    <w:charset w:val="00"/>
    <w:family w:val="auto"/>
    <w:pitch w:val="variable"/>
    <w:sig w:usb0="E0000AFF" w:usb1="5200A1FF" w:usb2="00000021"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823076"/>
      <w:docPartObj>
        <w:docPartGallery w:val="Page Numbers (Bottom of Page)"/>
        <w:docPartUnique/>
      </w:docPartObj>
    </w:sdtPr>
    <w:sdtContent>
      <w:p w14:paraId="3C135D52" w14:textId="07C8D480" w:rsidR="006502DE" w:rsidRDefault="006502DE" w:rsidP="009359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2CECE" w14:textId="77777777" w:rsidR="006502DE" w:rsidRDefault="00650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E7BE" w14:textId="703616B9" w:rsidR="006502DE" w:rsidRDefault="006502DE" w:rsidP="00935938">
    <w:pPr>
      <w:pStyle w:val="Footer"/>
    </w:pPr>
  </w:p>
  <w:p w14:paraId="546A68FF" w14:textId="77777777" w:rsidR="006502DE" w:rsidRDefault="0065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48B6" w14:textId="77777777" w:rsidR="00CA24A7" w:rsidRDefault="00CA24A7" w:rsidP="00DB1FDB">
      <w:r>
        <w:separator/>
      </w:r>
    </w:p>
  </w:footnote>
  <w:footnote w:type="continuationSeparator" w:id="0">
    <w:p w14:paraId="10A8A8B0" w14:textId="77777777" w:rsidR="00CA24A7" w:rsidRDefault="00CA24A7" w:rsidP="00DB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C342" w14:textId="45D12E6A" w:rsidR="00DB1FDB" w:rsidRPr="008B0E3B" w:rsidRDefault="008B0E3B">
    <w:pPr>
      <w:pStyle w:val="Header"/>
      <w:rPr>
        <w:color w:val="FFFFFF"/>
      </w:rPr>
    </w:pPr>
    <w:r>
      <w:rPr>
        <w:noProof/>
      </w:rPr>
      <mc:AlternateContent>
        <mc:Choice Requires="wps">
          <w:drawing>
            <wp:anchor distT="0" distB="0" distL="114300" distR="114300" simplePos="0" relativeHeight="251660288" behindDoc="0" locked="0" layoutInCell="1" allowOverlap="1" wp14:anchorId="7E5CB059" wp14:editId="180C9F23">
              <wp:simplePos x="0" y="0"/>
              <wp:positionH relativeFrom="column">
                <wp:posOffset>-756518</wp:posOffset>
              </wp:positionH>
              <wp:positionV relativeFrom="paragraph">
                <wp:posOffset>-450215</wp:posOffset>
              </wp:positionV>
              <wp:extent cx="4921250" cy="1080770"/>
              <wp:effectExtent l="0" t="0" r="6350" b="0"/>
              <wp:wrapSquare wrapText="bothSides"/>
              <wp:docPr id="1" name="Text Box 1"/>
              <wp:cNvGraphicFramePr/>
              <a:graphic xmlns:a="http://schemas.openxmlformats.org/drawingml/2006/main">
                <a:graphicData uri="http://schemas.microsoft.com/office/word/2010/wordprocessingShape">
                  <wps:wsp>
                    <wps:cNvSpPr txBox="1"/>
                    <wps:spPr>
                      <a:xfrm>
                        <a:off x="0" y="0"/>
                        <a:ext cx="4921250" cy="1080770"/>
                      </a:xfrm>
                      <a:prstGeom prst="rect">
                        <a:avLst/>
                      </a:prstGeom>
                      <a:noFill/>
                      <a:ln w="6350">
                        <a:noFill/>
                      </a:ln>
                    </wps:spPr>
                    <wps:txbx>
                      <w:txbxContent>
                        <w:p w14:paraId="751E006D" w14:textId="77777777" w:rsidR="008B0E3B" w:rsidRPr="008B0E3B" w:rsidRDefault="008B0E3B" w:rsidP="008B0E3B">
                          <w:pPr>
                            <w:spacing w:before="100" w:beforeAutospacing="1" w:after="100" w:afterAutospacing="1" w:line="240" w:lineRule="auto"/>
                            <w:outlineLvl w:val="1"/>
                            <w:rPr>
                              <w:rFonts w:ascii="Arial" w:eastAsia="Times New Roman" w:hAnsi="Arial" w:cs="Arial"/>
                              <w:b/>
                              <w:bCs/>
                              <w:color w:val="FFFFFF" w:themeColor="background1"/>
                              <w:kern w:val="0"/>
                              <w:sz w:val="28"/>
                              <w:szCs w:val="28"/>
                              <w:lang w:eastAsia="en-GB"/>
                              <w14:ligatures w14:val="none"/>
                            </w:rPr>
                          </w:pPr>
                          <w:r w:rsidRPr="008B0E3B">
                            <w:rPr>
                              <w:rFonts w:ascii="Arial" w:eastAsia="Times New Roman" w:hAnsi="Arial" w:cs="Arial"/>
                              <w:b/>
                              <w:bCs/>
                              <w:color w:val="FFFFFF" w:themeColor="background1"/>
                              <w:kern w:val="0"/>
                              <w:sz w:val="28"/>
                              <w:szCs w:val="28"/>
                              <w:lang w:eastAsia="en-GB"/>
                              <w14:ligatures w14:val="none"/>
                            </w:rPr>
                            <w:t>State of the Nation Briefing</w:t>
                          </w:r>
                        </w:p>
                        <w:p w14:paraId="1B03398E" w14:textId="4CE69AE5" w:rsidR="008B0E3B" w:rsidRPr="008B0E3B" w:rsidRDefault="008B0E3B" w:rsidP="008B0E3B">
                          <w:pPr>
                            <w:spacing w:before="100" w:beforeAutospacing="1" w:after="100" w:afterAutospacing="1" w:line="240" w:lineRule="auto"/>
                            <w:outlineLvl w:val="1"/>
                            <w:rPr>
                              <w:rFonts w:ascii="Arial" w:eastAsia="Times New Roman" w:hAnsi="Arial" w:cs="Arial"/>
                              <w:b/>
                              <w:bCs/>
                              <w:color w:val="FFFFFF" w:themeColor="background1"/>
                              <w:kern w:val="0"/>
                              <w:sz w:val="28"/>
                              <w:szCs w:val="28"/>
                              <w:lang w:eastAsia="en-GB"/>
                              <w14:ligatures w14:val="none"/>
                            </w:rPr>
                          </w:pPr>
                          <w:r>
                            <w:rPr>
                              <w:rFonts w:ascii="Arial" w:eastAsia="Times New Roman" w:hAnsi="Arial" w:cs="Arial"/>
                              <w:b/>
                              <w:bCs/>
                              <w:color w:val="FFFFFF" w:themeColor="background1"/>
                              <w:kern w:val="0"/>
                              <w:sz w:val="28"/>
                              <w:szCs w:val="28"/>
                              <w:lang w:eastAsia="en-GB"/>
                              <w14:ligatures w14:val="none"/>
                            </w:rPr>
                            <w:t>April</w:t>
                          </w:r>
                          <w:r w:rsidRPr="008B0E3B">
                            <w:rPr>
                              <w:rFonts w:ascii="Arial" w:eastAsia="Times New Roman" w:hAnsi="Arial" w:cs="Arial"/>
                              <w:b/>
                              <w:bCs/>
                              <w:color w:val="FFFFFF" w:themeColor="background1"/>
                              <w:kern w:val="0"/>
                              <w:sz w:val="28"/>
                              <w:szCs w:val="28"/>
                              <w:lang w:eastAsia="en-GB"/>
                              <w14:ligatures w14:val="none"/>
                            </w:rPr>
                            <w:t xml:space="preserve"> 2026</w:t>
                          </w:r>
                        </w:p>
                        <w:p w14:paraId="7D92A98C" w14:textId="04B0B782" w:rsidR="00B96503" w:rsidRPr="008B0E3B" w:rsidRDefault="00B96503" w:rsidP="00345AA1">
                          <w:pPr>
                            <w:pStyle w:val="Header"/>
                            <w:spacing w:after="0" w:line="240" w:lineRule="auto"/>
                            <w:ind w:left="567"/>
                            <w:rPr>
                              <w:rFonts w:cs="Times New Roman (Body CS)"/>
                              <w:caps/>
                              <w:noProof/>
                              <w:color w:val="FFFFFF" w:themeColor="background1"/>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CB059" id="_x0000_t202" coordsize="21600,21600" o:spt="202" path="m,l,21600r21600,l21600,xe">
              <v:stroke joinstyle="miter"/>
              <v:path gradientshapeok="t" o:connecttype="rect"/>
            </v:shapetype>
            <v:shape id="Text Box 1" o:spid="_x0000_s1026" type="#_x0000_t202" style="position:absolute;margin-left:-59.55pt;margin-top:-35.45pt;width:387.5pt;height: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" filled="f" stroked="f" strokeweight=".5pt">
              <v:textbox inset="0,0,0,0">
                <w:txbxContent>
                  <w:p w14:paraId="751E006D" w14:textId="77777777" w:rsidR="008B0E3B" w:rsidRPr="008B0E3B" w:rsidRDefault="008B0E3B" w:rsidP="008B0E3B">
                    <w:pPr>
                      <w:spacing w:before="100" w:beforeAutospacing="1" w:after="100" w:afterAutospacing="1" w:line="240" w:lineRule="auto"/>
                      <w:outlineLvl w:val="1"/>
                      <w:rPr>
                        <w:rFonts w:ascii="Arial" w:eastAsia="Times New Roman" w:hAnsi="Arial" w:cs="Arial"/>
                        <w:b/>
                        <w:bCs/>
                        <w:color w:val="FFFFFF" w:themeColor="background1"/>
                        <w:kern w:val="0"/>
                        <w:sz w:val="28"/>
                        <w:szCs w:val="28"/>
                        <w:lang w:eastAsia="en-GB"/>
                        <w14:ligatures w14:val="none"/>
                      </w:rPr>
                    </w:pPr>
                    <w:r w:rsidRPr="008B0E3B">
                      <w:rPr>
                        <w:rFonts w:ascii="Arial" w:eastAsia="Times New Roman" w:hAnsi="Arial" w:cs="Arial"/>
                        <w:b/>
                        <w:bCs/>
                        <w:color w:val="FFFFFF" w:themeColor="background1"/>
                        <w:kern w:val="0"/>
                        <w:sz w:val="28"/>
                        <w:szCs w:val="28"/>
                        <w:lang w:eastAsia="en-GB"/>
                        <w14:ligatures w14:val="none"/>
                      </w:rPr>
                      <w:t>State of the Nation Briefing</w:t>
                    </w:r>
                  </w:p>
                  <w:p w14:paraId="1B03398E" w14:textId="4CE69AE5" w:rsidR="008B0E3B" w:rsidRPr="008B0E3B" w:rsidRDefault="008B0E3B" w:rsidP="008B0E3B">
                    <w:pPr>
                      <w:spacing w:before="100" w:beforeAutospacing="1" w:after="100" w:afterAutospacing="1" w:line="240" w:lineRule="auto"/>
                      <w:outlineLvl w:val="1"/>
                      <w:rPr>
                        <w:rFonts w:ascii="Arial" w:eastAsia="Times New Roman" w:hAnsi="Arial" w:cs="Arial"/>
                        <w:b/>
                        <w:bCs/>
                        <w:color w:val="FFFFFF" w:themeColor="background1"/>
                        <w:kern w:val="0"/>
                        <w:sz w:val="28"/>
                        <w:szCs w:val="28"/>
                        <w:lang w:eastAsia="en-GB"/>
                        <w14:ligatures w14:val="none"/>
                      </w:rPr>
                    </w:pPr>
                    <w:r>
                      <w:rPr>
                        <w:rFonts w:ascii="Arial" w:eastAsia="Times New Roman" w:hAnsi="Arial" w:cs="Arial"/>
                        <w:b/>
                        <w:bCs/>
                        <w:color w:val="FFFFFF" w:themeColor="background1"/>
                        <w:kern w:val="0"/>
                        <w:sz w:val="28"/>
                        <w:szCs w:val="28"/>
                        <w:lang w:eastAsia="en-GB"/>
                        <w14:ligatures w14:val="none"/>
                      </w:rPr>
                      <w:t>April</w:t>
                    </w:r>
                    <w:r w:rsidRPr="008B0E3B">
                      <w:rPr>
                        <w:rFonts w:ascii="Arial" w:eastAsia="Times New Roman" w:hAnsi="Arial" w:cs="Arial"/>
                        <w:b/>
                        <w:bCs/>
                        <w:color w:val="FFFFFF" w:themeColor="background1"/>
                        <w:kern w:val="0"/>
                        <w:sz w:val="28"/>
                        <w:szCs w:val="28"/>
                        <w:lang w:eastAsia="en-GB"/>
                        <w14:ligatures w14:val="none"/>
                      </w:rPr>
                      <w:t xml:space="preserve"> 2026</w:t>
                    </w:r>
                  </w:p>
                  <w:p w14:paraId="7D92A98C" w14:textId="04B0B782" w:rsidR="00B96503" w:rsidRPr="008B0E3B" w:rsidRDefault="00B96503" w:rsidP="00345AA1">
                    <w:pPr>
                      <w:pStyle w:val="Header"/>
                      <w:spacing w:after="0" w:line="240" w:lineRule="auto"/>
                      <w:ind w:left="567"/>
                      <w:rPr>
                        <w:rFonts w:cs="Times New Roman (Body CS)"/>
                        <w:caps/>
                        <w:noProof/>
                        <w:color w:val="FFFFFF" w:themeColor="background1"/>
                        <w:sz w:val="28"/>
                        <w:szCs w:val="28"/>
                      </w:rPr>
                    </w:pPr>
                  </w:p>
                </w:txbxContent>
              </v:textbox>
              <w10:wrap type="square"/>
            </v:shape>
          </w:pict>
        </mc:Fallback>
      </mc:AlternateContent>
    </w:r>
    <w:r w:rsidR="008644D8" w:rsidRPr="008B0E3B">
      <w:rPr>
        <w:noProof/>
        <w:color w:val="FFFFFF"/>
      </w:rPr>
      <w:drawing>
        <wp:anchor distT="0" distB="0" distL="114300" distR="114300" simplePos="0" relativeHeight="251661312" behindDoc="1" locked="0" layoutInCell="1" allowOverlap="1" wp14:anchorId="527478C6" wp14:editId="08CA6E53">
          <wp:simplePos x="0" y="0"/>
          <wp:positionH relativeFrom="page">
            <wp:posOffset>7951</wp:posOffset>
          </wp:positionH>
          <wp:positionV relativeFrom="page">
            <wp:posOffset>0</wp:posOffset>
          </wp:positionV>
          <wp:extent cx="7541692" cy="1067244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1692" cy="10672445"/>
                  </a:xfrm>
                  <a:prstGeom prst="rect">
                    <a:avLst/>
                  </a:prstGeom>
                </pic:spPr>
              </pic:pic>
            </a:graphicData>
          </a:graphic>
          <wp14:sizeRelH relativeFrom="page">
            <wp14:pctWidth>0</wp14:pctWidth>
          </wp14:sizeRelH>
          <wp14:sizeRelV relativeFrom="page">
            <wp14:pctHeight>0</wp14:pctHeight>
          </wp14:sizeRelV>
        </wp:anchor>
      </w:drawing>
    </w:r>
    <w:r>
      <w:rPr>
        <w:color w:va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70D51"/>
    <w:multiLevelType w:val="hybridMultilevel"/>
    <w:tmpl w:val="FDA2CD82"/>
    <w:lvl w:ilvl="0" w:tplc="780CD796">
      <w:start w:val="1"/>
      <w:numFmt w:val="bullet"/>
      <w:lvlText w:val="•"/>
      <w:lvlJc w:val="left"/>
      <w:pPr>
        <w:ind w:left="540" w:hanging="270"/>
      </w:pPr>
    </w:lvl>
    <w:lvl w:ilvl="1" w:tplc="41747A38">
      <w:start w:val="1"/>
      <w:numFmt w:val="bullet"/>
      <w:lvlText w:val="◦"/>
      <w:lvlJc w:val="left"/>
      <w:pPr>
        <w:ind w:left="1080" w:hanging="270"/>
      </w:pPr>
    </w:lvl>
    <w:lvl w:ilvl="2" w:tplc="3506A3AA">
      <w:numFmt w:val="decimal"/>
      <w:lvlText w:val=""/>
      <w:lvlJc w:val="left"/>
    </w:lvl>
    <w:lvl w:ilvl="3" w:tplc="2C844AEA">
      <w:numFmt w:val="decimal"/>
      <w:lvlText w:val=""/>
      <w:lvlJc w:val="left"/>
    </w:lvl>
    <w:lvl w:ilvl="4" w:tplc="71927EC2">
      <w:numFmt w:val="decimal"/>
      <w:lvlText w:val=""/>
      <w:lvlJc w:val="left"/>
    </w:lvl>
    <w:lvl w:ilvl="5" w:tplc="4F3C00E2">
      <w:numFmt w:val="decimal"/>
      <w:lvlText w:val=""/>
      <w:lvlJc w:val="left"/>
    </w:lvl>
    <w:lvl w:ilvl="6" w:tplc="2C72A046">
      <w:numFmt w:val="decimal"/>
      <w:lvlText w:val=""/>
      <w:lvlJc w:val="left"/>
    </w:lvl>
    <w:lvl w:ilvl="7" w:tplc="31B6966A">
      <w:numFmt w:val="decimal"/>
      <w:lvlText w:val=""/>
      <w:lvlJc w:val="left"/>
    </w:lvl>
    <w:lvl w:ilvl="8" w:tplc="051C519E">
      <w:numFmt w:val="decimal"/>
      <w:lvlText w:val=""/>
      <w:lvlJc w:val="left"/>
    </w:lvl>
  </w:abstractNum>
  <w:abstractNum w:abstractNumId="1" w15:restartNumberingAfterBreak="0">
    <w:nsid w:val="58BA2CC5"/>
    <w:multiLevelType w:val="hybridMultilevel"/>
    <w:tmpl w:val="5AEEF752"/>
    <w:lvl w:ilvl="0" w:tplc="CAFCD538">
      <w:start w:val="1"/>
      <w:numFmt w:val="decimal"/>
      <w:lvlText w:val="%1."/>
      <w:lvlJc w:val="left"/>
      <w:pPr>
        <w:ind w:left="540" w:hanging="270"/>
      </w:pPr>
    </w:lvl>
    <w:lvl w:ilvl="1" w:tplc="516CF60C">
      <w:numFmt w:val="decimal"/>
      <w:lvlText w:val=""/>
      <w:lvlJc w:val="left"/>
    </w:lvl>
    <w:lvl w:ilvl="2" w:tplc="EED63B4E">
      <w:numFmt w:val="decimal"/>
      <w:lvlText w:val=""/>
      <w:lvlJc w:val="left"/>
    </w:lvl>
    <w:lvl w:ilvl="3" w:tplc="8586FD66">
      <w:numFmt w:val="decimal"/>
      <w:lvlText w:val=""/>
      <w:lvlJc w:val="left"/>
    </w:lvl>
    <w:lvl w:ilvl="4" w:tplc="FB1C1398">
      <w:numFmt w:val="decimal"/>
      <w:lvlText w:val=""/>
      <w:lvlJc w:val="left"/>
    </w:lvl>
    <w:lvl w:ilvl="5" w:tplc="11F05FEC">
      <w:numFmt w:val="decimal"/>
      <w:lvlText w:val=""/>
      <w:lvlJc w:val="left"/>
    </w:lvl>
    <w:lvl w:ilvl="6" w:tplc="6F044DA2">
      <w:numFmt w:val="decimal"/>
      <w:lvlText w:val=""/>
      <w:lvlJc w:val="left"/>
    </w:lvl>
    <w:lvl w:ilvl="7" w:tplc="B5FAC6DC">
      <w:numFmt w:val="decimal"/>
      <w:lvlText w:val=""/>
      <w:lvlJc w:val="left"/>
    </w:lvl>
    <w:lvl w:ilvl="8" w:tplc="82162C30">
      <w:numFmt w:val="decimal"/>
      <w:lvlText w:val=""/>
      <w:lvlJc w:val="left"/>
    </w:lvl>
  </w:abstractNum>
  <w:num w:numId="1" w16cid:durableId="1377387460">
    <w:abstractNumId w:val="0"/>
    <w:lvlOverride w:ilvl="0">
      <w:startOverride w:val="1"/>
    </w:lvlOverride>
  </w:num>
  <w:num w:numId="2" w16cid:durableId="21252704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DB"/>
    <w:rsid w:val="000A1044"/>
    <w:rsid w:val="000F71F1"/>
    <w:rsid w:val="001A2AAC"/>
    <w:rsid w:val="001F2CAA"/>
    <w:rsid w:val="002056A3"/>
    <w:rsid w:val="00232373"/>
    <w:rsid w:val="00246E32"/>
    <w:rsid w:val="00345AA1"/>
    <w:rsid w:val="003B19D6"/>
    <w:rsid w:val="003C09E1"/>
    <w:rsid w:val="004C0DB9"/>
    <w:rsid w:val="005F3DC1"/>
    <w:rsid w:val="006502DE"/>
    <w:rsid w:val="00651AC3"/>
    <w:rsid w:val="0068423F"/>
    <w:rsid w:val="008644D8"/>
    <w:rsid w:val="008B0E3B"/>
    <w:rsid w:val="008E6F74"/>
    <w:rsid w:val="00935938"/>
    <w:rsid w:val="00977DCB"/>
    <w:rsid w:val="009B72DD"/>
    <w:rsid w:val="009D30DA"/>
    <w:rsid w:val="00A821D5"/>
    <w:rsid w:val="00B808A7"/>
    <w:rsid w:val="00B861A7"/>
    <w:rsid w:val="00B96503"/>
    <w:rsid w:val="00C15F21"/>
    <w:rsid w:val="00CA24A7"/>
    <w:rsid w:val="00CD32E6"/>
    <w:rsid w:val="00CF35E8"/>
    <w:rsid w:val="00D54031"/>
    <w:rsid w:val="00D84711"/>
    <w:rsid w:val="00DA2AE9"/>
    <w:rsid w:val="00DB1FDB"/>
    <w:rsid w:val="00DB22E2"/>
    <w:rsid w:val="00E23324"/>
    <w:rsid w:val="00EB4840"/>
    <w:rsid w:val="00F36939"/>
    <w:rsid w:val="00FB1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0FE0"/>
  <w15:chartTrackingRefBased/>
  <w15:docId w15:val="{5F2FBCB6-592A-F246-98B9-F03CB7D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B9"/>
  </w:style>
  <w:style w:type="paragraph" w:styleId="Heading1">
    <w:name w:val="heading 1"/>
    <w:basedOn w:val="Normal"/>
    <w:next w:val="Normal"/>
    <w:link w:val="Heading1Char"/>
    <w:uiPriority w:val="9"/>
    <w:qFormat/>
    <w:rsid w:val="004C0DB9"/>
    <w:pPr>
      <w:keepNext/>
      <w:keepLines/>
      <w:spacing w:before="360" w:after="80"/>
      <w:outlineLvl w:val="0"/>
    </w:pPr>
    <w:rPr>
      <w:rFonts w:asciiTheme="majorHAnsi" w:eastAsiaTheme="majorEastAsia" w:hAnsiTheme="majorHAnsi" w:cstheme="majorBidi"/>
      <w:color w:val="160025" w:themeColor="accent1" w:themeShade="BF"/>
      <w:sz w:val="40"/>
      <w:szCs w:val="40"/>
    </w:rPr>
  </w:style>
  <w:style w:type="paragraph" w:styleId="Heading2">
    <w:name w:val="heading 2"/>
    <w:basedOn w:val="Normal"/>
    <w:next w:val="Normal"/>
    <w:link w:val="Heading2Char"/>
    <w:uiPriority w:val="9"/>
    <w:unhideWhenUsed/>
    <w:qFormat/>
    <w:rsid w:val="004C0DB9"/>
    <w:pPr>
      <w:keepNext/>
      <w:keepLines/>
      <w:spacing w:before="160" w:after="80"/>
      <w:outlineLvl w:val="1"/>
    </w:pPr>
    <w:rPr>
      <w:rFonts w:asciiTheme="majorHAnsi" w:eastAsiaTheme="majorEastAsia" w:hAnsiTheme="majorHAnsi" w:cstheme="majorBidi"/>
      <w:color w:val="160025" w:themeColor="accent1" w:themeShade="BF"/>
      <w:sz w:val="32"/>
      <w:szCs w:val="32"/>
    </w:rPr>
  </w:style>
  <w:style w:type="paragraph" w:styleId="Heading3">
    <w:name w:val="heading 3"/>
    <w:basedOn w:val="Normal"/>
    <w:next w:val="Normal"/>
    <w:link w:val="Heading3Char"/>
    <w:uiPriority w:val="9"/>
    <w:semiHidden/>
    <w:unhideWhenUsed/>
    <w:qFormat/>
    <w:rsid w:val="004C0DB9"/>
    <w:pPr>
      <w:keepNext/>
      <w:keepLines/>
      <w:spacing w:before="160" w:after="80"/>
      <w:outlineLvl w:val="2"/>
    </w:pPr>
    <w:rPr>
      <w:rFonts w:eastAsiaTheme="majorEastAsia" w:cstheme="majorBidi"/>
      <w:color w:val="160025" w:themeColor="accent1" w:themeShade="BF"/>
      <w:sz w:val="28"/>
      <w:szCs w:val="28"/>
    </w:rPr>
  </w:style>
  <w:style w:type="paragraph" w:styleId="Heading4">
    <w:name w:val="heading 4"/>
    <w:basedOn w:val="Normal"/>
    <w:next w:val="Normal"/>
    <w:link w:val="Heading4Char"/>
    <w:uiPriority w:val="9"/>
    <w:semiHidden/>
    <w:unhideWhenUsed/>
    <w:qFormat/>
    <w:rsid w:val="004C0DB9"/>
    <w:pPr>
      <w:keepNext/>
      <w:keepLines/>
      <w:spacing w:before="80" w:after="40"/>
      <w:outlineLvl w:val="3"/>
    </w:pPr>
    <w:rPr>
      <w:rFonts w:eastAsiaTheme="majorEastAsia" w:cstheme="majorBidi"/>
      <w:i/>
      <w:iCs/>
      <w:color w:val="160025" w:themeColor="accent1" w:themeShade="BF"/>
    </w:rPr>
  </w:style>
  <w:style w:type="paragraph" w:styleId="Heading5">
    <w:name w:val="heading 5"/>
    <w:basedOn w:val="Normal"/>
    <w:next w:val="Normal"/>
    <w:link w:val="Heading5Char"/>
    <w:uiPriority w:val="9"/>
    <w:semiHidden/>
    <w:unhideWhenUsed/>
    <w:qFormat/>
    <w:rsid w:val="004C0DB9"/>
    <w:pPr>
      <w:keepNext/>
      <w:keepLines/>
      <w:spacing w:before="80" w:after="40"/>
      <w:outlineLvl w:val="4"/>
    </w:pPr>
    <w:rPr>
      <w:rFonts w:eastAsiaTheme="majorEastAsia" w:cstheme="majorBidi"/>
      <w:color w:val="160025" w:themeColor="accent1" w:themeShade="BF"/>
    </w:rPr>
  </w:style>
  <w:style w:type="paragraph" w:styleId="Heading6">
    <w:name w:val="heading 6"/>
    <w:basedOn w:val="Normal"/>
    <w:next w:val="Normal"/>
    <w:link w:val="Heading6Char"/>
    <w:uiPriority w:val="9"/>
    <w:semiHidden/>
    <w:unhideWhenUsed/>
    <w:qFormat/>
    <w:rsid w:val="004C0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B9"/>
    <w:rPr>
      <w:rFonts w:asciiTheme="majorHAnsi" w:eastAsiaTheme="majorEastAsia" w:hAnsiTheme="majorHAnsi" w:cstheme="majorBidi"/>
      <w:color w:val="160025" w:themeColor="accent1" w:themeShade="BF"/>
      <w:sz w:val="40"/>
      <w:szCs w:val="40"/>
    </w:rPr>
  </w:style>
  <w:style w:type="paragraph" w:styleId="NoSpacing">
    <w:name w:val="No Spacing"/>
    <w:uiPriority w:val="1"/>
    <w:qFormat/>
    <w:rsid w:val="004C0DB9"/>
    <w:pPr>
      <w:spacing w:after="0" w:line="240" w:lineRule="auto"/>
    </w:pPr>
  </w:style>
  <w:style w:type="character" w:customStyle="1" w:styleId="Heading2Char">
    <w:name w:val="Heading 2 Char"/>
    <w:basedOn w:val="DefaultParagraphFont"/>
    <w:link w:val="Heading2"/>
    <w:uiPriority w:val="9"/>
    <w:rsid w:val="004C0DB9"/>
    <w:rPr>
      <w:rFonts w:asciiTheme="majorHAnsi" w:eastAsiaTheme="majorEastAsia" w:hAnsiTheme="majorHAnsi" w:cstheme="majorBidi"/>
      <w:color w:val="160025" w:themeColor="accent1" w:themeShade="BF"/>
      <w:sz w:val="32"/>
      <w:szCs w:val="32"/>
    </w:rPr>
  </w:style>
  <w:style w:type="paragraph" w:styleId="IntenseQuote">
    <w:name w:val="Intense Quote"/>
    <w:basedOn w:val="Normal"/>
    <w:next w:val="Normal"/>
    <w:link w:val="IntenseQuoteChar"/>
    <w:uiPriority w:val="30"/>
    <w:qFormat/>
    <w:rsid w:val="004C0DB9"/>
    <w:pPr>
      <w:pBdr>
        <w:top w:val="single" w:sz="4" w:space="10" w:color="160025" w:themeColor="accent1" w:themeShade="BF"/>
        <w:bottom w:val="single" w:sz="4" w:space="10" w:color="160025" w:themeColor="accent1" w:themeShade="BF"/>
      </w:pBdr>
      <w:spacing w:before="360" w:after="360"/>
      <w:ind w:left="864" w:right="864"/>
      <w:jc w:val="center"/>
    </w:pPr>
    <w:rPr>
      <w:i/>
      <w:iCs/>
      <w:color w:val="160025" w:themeColor="accent1" w:themeShade="BF"/>
    </w:rPr>
  </w:style>
  <w:style w:type="character" w:customStyle="1" w:styleId="IntenseQuoteChar">
    <w:name w:val="Intense Quote Char"/>
    <w:basedOn w:val="DefaultParagraphFont"/>
    <w:link w:val="IntenseQuote"/>
    <w:uiPriority w:val="30"/>
    <w:rsid w:val="004C0DB9"/>
    <w:rPr>
      <w:i/>
      <w:iCs/>
      <w:color w:val="160025" w:themeColor="accent1" w:themeShade="BF"/>
    </w:rPr>
  </w:style>
  <w:style w:type="table" w:styleId="TableGrid">
    <w:name w:val="Table Grid"/>
    <w:basedOn w:val="TableNormal"/>
    <w:uiPriority w:val="39"/>
    <w:rsid w:val="00232373"/>
    <w:rPr>
      <w:rFonts w:ascii="Inter" w:hAnsi="Inte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val="0"/>
        <w:i w:val="0"/>
        <w:color w:val="FFFFFF" w:themeColor="background1"/>
        <w:sz w:val="20"/>
      </w:rPr>
      <w:tblPr/>
      <w:tcPr>
        <w:shd w:val="clear" w:color="auto" w:fill="222C77"/>
      </w:tcPr>
    </w:tblStylePr>
    <w:tblStylePr w:type="lastCol">
      <w:tblPr/>
      <w:tcPr>
        <w:shd w:val="clear" w:color="auto" w:fill="A2C516"/>
      </w:tcPr>
    </w:tblStylePr>
  </w:style>
  <w:style w:type="paragraph" w:styleId="Header">
    <w:name w:val="header"/>
    <w:basedOn w:val="Normal"/>
    <w:link w:val="HeaderChar"/>
    <w:uiPriority w:val="99"/>
    <w:unhideWhenUsed/>
    <w:rsid w:val="00DB1FDB"/>
    <w:pPr>
      <w:tabs>
        <w:tab w:val="center" w:pos="4513"/>
        <w:tab w:val="right" w:pos="9026"/>
      </w:tabs>
    </w:pPr>
  </w:style>
  <w:style w:type="character" w:customStyle="1" w:styleId="HeaderChar">
    <w:name w:val="Header Char"/>
    <w:basedOn w:val="DefaultParagraphFont"/>
    <w:link w:val="Header"/>
    <w:uiPriority w:val="99"/>
    <w:rsid w:val="00DB1FDB"/>
    <w:rPr>
      <w:rFonts w:ascii="Inter Light" w:hAnsi="Inter Light" w:cs="Times New Roman (Body CS)"/>
      <w:color w:val="000000" w:themeColor="text1"/>
      <w:sz w:val="20"/>
    </w:rPr>
  </w:style>
  <w:style w:type="paragraph" w:styleId="Footer">
    <w:name w:val="footer"/>
    <w:basedOn w:val="Normal"/>
    <w:link w:val="FooterChar"/>
    <w:uiPriority w:val="99"/>
    <w:unhideWhenUsed/>
    <w:rsid w:val="00DB1FDB"/>
    <w:pPr>
      <w:tabs>
        <w:tab w:val="center" w:pos="4513"/>
        <w:tab w:val="right" w:pos="9026"/>
      </w:tabs>
    </w:pPr>
  </w:style>
  <w:style w:type="character" w:customStyle="1" w:styleId="FooterChar">
    <w:name w:val="Footer Char"/>
    <w:basedOn w:val="DefaultParagraphFont"/>
    <w:link w:val="Footer"/>
    <w:uiPriority w:val="99"/>
    <w:rsid w:val="00DB1FDB"/>
    <w:rPr>
      <w:rFonts w:ascii="Inter Light" w:hAnsi="Inter Light" w:cs="Times New Roman (Body CS)"/>
      <w:color w:val="000000" w:themeColor="text1"/>
      <w:sz w:val="20"/>
    </w:rPr>
  </w:style>
  <w:style w:type="character" w:styleId="PageNumber">
    <w:name w:val="page number"/>
    <w:basedOn w:val="DefaultParagraphFont"/>
    <w:uiPriority w:val="99"/>
    <w:semiHidden/>
    <w:unhideWhenUsed/>
    <w:rsid w:val="006502DE"/>
  </w:style>
  <w:style w:type="character" w:customStyle="1" w:styleId="Heading3Char">
    <w:name w:val="Heading 3 Char"/>
    <w:basedOn w:val="DefaultParagraphFont"/>
    <w:link w:val="Heading3"/>
    <w:uiPriority w:val="9"/>
    <w:semiHidden/>
    <w:rsid w:val="004C0DB9"/>
    <w:rPr>
      <w:rFonts w:eastAsiaTheme="majorEastAsia" w:cstheme="majorBidi"/>
      <w:color w:val="160025" w:themeColor="accent1" w:themeShade="BF"/>
      <w:sz w:val="28"/>
      <w:szCs w:val="28"/>
    </w:rPr>
  </w:style>
  <w:style w:type="character" w:customStyle="1" w:styleId="Heading4Char">
    <w:name w:val="Heading 4 Char"/>
    <w:basedOn w:val="DefaultParagraphFont"/>
    <w:link w:val="Heading4"/>
    <w:uiPriority w:val="9"/>
    <w:semiHidden/>
    <w:rsid w:val="004C0DB9"/>
    <w:rPr>
      <w:rFonts w:eastAsiaTheme="majorEastAsia" w:cstheme="majorBidi"/>
      <w:i/>
      <w:iCs/>
      <w:color w:val="160025" w:themeColor="accent1" w:themeShade="BF"/>
    </w:rPr>
  </w:style>
  <w:style w:type="character" w:customStyle="1" w:styleId="Heading5Char">
    <w:name w:val="Heading 5 Char"/>
    <w:basedOn w:val="DefaultParagraphFont"/>
    <w:link w:val="Heading5"/>
    <w:uiPriority w:val="9"/>
    <w:semiHidden/>
    <w:rsid w:val="004C0DB9"/>
    <w:rPr>
      <w:rFonts w:eastAsiaTheme="majorEastAsia" w:cstheme="majorBidi"/>
      <w:color w:val="160025" w:themeColor="accent1" w:themeShade="BF"/>
    </w:rPr>
  </w:style>
  <w:style w:type="character" w:customStyle="1" w:styleId="Heading6Char">
    <w:name w:val="Heading 6 Char"/>
    <w:basedOn w:val="DefaultParagraphFont"/>
    <w:link w:val="Heading6"/>
    <w:uiPriority w:val="9"/>
    <w:semiHidden/>
    <w:rsid w:val="004C0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DB9"/>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4C0DB9"/>
    <w:pPr>
      <w:spacing w:after="200" w:line="240" w:lineRule="auto"/>
    </w:pPr>
    <w:rPr>
      <w:i/>
      <w:iCs/>
      <w:color w:val="1E0032" w:themeColor="text2"/>
      <w:sz w:val="18"/>
      <w:szCs w:val="18"/>
    </w:rPr>
  </w:style>
  <w:style w:type="paragraph" w:styleId="Title">
    <w:name w:val="Title"/>
    <w:basedOn w:val="Normal"/>
    <w:next w:val="Normal"/>
    <w:link w:val="TitleChar"/>
    <w:uiPriority w:val="10"/>
    <w:qFormat/>
    <w:rsid w:val="004C0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DB9"/>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4C0DB9"/>
    <w:rPr>
      <w:b/>
      <w:bCs/>
    </w:rPr>
  </w:style>
  <w:style w:type="character" w:styleId="Emphasis">
    <w:name w:val="Emphasis"/>
    <w:basedOn w:val="DefaultParagraphFont"/>
    <w:uiPriority w:val="20"/>
    <w:qFormat/>
    <w:rsid w:val="004C0DB9"/>
    <w:rPr>
      <w:i/>
      <w:iCs/>
    </w:rPr>
  </w:style>
  <w:style w:type="paragraph" w:styleId="Quote">
    <w:name w:val="Quote"/>
    <w:basedOn w:val="Normal"/>
    <w:next w:val="Normal"/>
    <w:link w:val="QuoteChar"/>
    <w:uiPriority w:val="29"/>
    <w:qFormat/>
    <w:rsid w:val="004C0DB9"/>
    <w:pPr>
      <w:spacing w:before="160"/>
      <w:jc w:val="center"/>
    </w:pPr>
    <w:rPr>
      <w:i/>
      <w:iCs/>
      <w:color w:val="404040" w:themeColor="text1" w:themeTint="BF"/>
    </w:rPr>
  </w:style>
  <w:style w:type="character" w:customStyle="1" w:styleId="QuoteChar">
    <w:name w:val="Quote Char"/>
    <w:basedOn w:val="DefaultParagraphFont"/>
    <w:link w:val="Quote"/>
    <w:uiPriority w:val="29"/>
    <w:rsid w:val="004C0DB9"/>
    <w:rPr>
      <w:i/>
      <w:iCs/>
      <w:color w:val="404040" w:themeColor="text1" w:themeTint="BF"/>
    </w:rPr>
  </w:style>
  <w:style w:type="character" w:styleId="SubtleEmphasis">
    <w:name w:val="Subtle Emphasis"/>
    <w:basedOn w:val="DefaultParagraphFont"/>
    <w:uiPriority w:val="19"/>
    <w:qFormat/>
    <w:rsid w:val="004C0DB9"/>
    <w:rPr>
      <w:i/>
      <w:iCs/>
      <w:color w:val="404040" w:themeColor="text1" w:themeTint="BF"/>
    </w:rPr>
  </w:style>
  <w:style w:type="character" w:styleId="IntenseEmphasis">
    <w:name w:val="Intense Emphasis"/>
    <w:basedOn w:val="DefaultParagraphFont"/>
    <w:uiPriority w:val="21"/>
    <w:qFormat/>
    <w:rsid w:val="004C0DB9"/>
    <w:rPr>
      <w:i/>
      <w:iCs/>
      <w:color w:val="160025" w:themeColor="accent1" w:themeShade="BF"/>
    </w:rPr>
  </w:style>
  <w:style w:type="character" w:styleId="SubtleReference">
    <w:name w:val="Subtle Reference"/>
    <w:basedOn w:val="DefaultParagraphFont"/>
    <w:uiPriority w:val="31"/>
    <w:qFormat/>
    <w:rsid w:val="004C0DB9"/>
    <w:rPr>
      <w:smallCaps/>
      <w:color w:val="5A5A5A" w:themeColor="text1" w:themeTint="A5"/>
    </w:rPr>
  </w:style>
  <w:style w:type="character" w:styleId="IntenseReference">
    <w:name w:val="Intense Reference"/>
    <w:basedOn w:val="DefaultParagraphFont"/>
    <w:uiPriority w:val="32"/>
    <w:qFormat/>
    <w:rsid w:val="004C0DB9"/>
    <w:rPr>
      <w:b/>
      <w:bCs/>
      <w:smallCaps/>
      <w:color w:val="160025" w:themeColor="accent1" w:themeShade="BF"/>
      <w:spacing w:val="5"/>
    </w:rPr>
  </w:style>
  <w:style w:type="character" w:styleId="BookTitle">
    <w:name w:val="Book Title"/>
    <w:basedOn w:val="DefaultParagraphFont"/>
    <w:uiPriority w:val="33"/>
    <w:qFormat/>
    <w:rsid w:val="004C0DB9"/>
    <w:rPr>
      <w:b/>
      <w:bCs/>
      <w:i/>
      <w:iCs/>
      <w:spacing w:val="5"/>
    </w:rPr>
  </w:style>
  <w:style w:type="paragraph" w:styleId="TOCHeading">
    <w:name w:val="TOC Heading"/>
    <w:basedOn w:val="Heading1"/>
    <w:next w:val="Normal"/>
    <w:uiPriority w:val="39"/>
    <w:semiHidden/>
    <w:unhideWhenUsed/>
    <w:qFormat/>
    <w:rsid w:val="004C0DB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VAC New Templates Sep 2025">
      <a:dk1>
        <a:srgbClr val="000000"/>
      </a:dk1>
      <a:lt1>
        <a:srgbClr val="FFFFFF"/>
      </a:lt1>
      <a:dk2>
        <a:srgbClr val="1E0032"/>
      </a:dk2>
      <a:lt2>
        <a:srgbClr val="FFFFFF"/>
      </a:lt2>
      <a:accent1>
        <a:srgbClr val="1E0032"/>
      </a:accent1>
      <a:accent2>
        <a:srgbClr val="F28019"/>
      </a:accent2>
      <a:accent3>
        <a:srgbClr val="89004B"/>
      </a:accent3>
      <a:accent4>
        <a:srgbClr val="FAED1C"/>
      </a:accent4>
      <a:accent5>
        <a:srgbClr val="0A5BAD"/>
      </a:accent5>
      <a:accent6>
        <a:srgbClr val="7BBD3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Crawford-Lee, Mandy</cp:lastModifiedBy>
  <cp:revision>5</cp:revision>
  <dcterms:created xsi:type="dcterms:W3CDTF">2026-04-22T08:10:00Z</dcterms:created>
  <dcterms:modified xsi:type="dcterms:W3CDTF">2026-04-22T08:36:00Z</dcterms:modified>
</cp:coreProperties>
</file>