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2376" w14:textId="77777777" w:rsidR="00650705" w:rsidRDefault="00650705">
      <w:pPr>
        <w:rPr>
          <w:rFonts w:cs="Open Sans"/>
          <w:color w:val="101820"/>
          <w:szCs w:val="20"/>
        </w:rPr>
      </w:pPr>
    </w:p>
    <w:p w14:paraId="5C8360C0" w14:textId="51E64F06" w:rsidR="00650705" w:rsidRDefault="005F7ED7">
      <w:pPr>
        <w:ind w:left="0"/>
        <w:rPr>
          <w:rFonts w:cs="Open Sans"/>
          <w:color w:val="101820"/>
          <w:szCs w:val="20"/>
        </w:rPr>
      </w:pPr>
      <w:r>
        <w:rPr>
          <w:rFonts w:cs="Open Sans"/>
          <w:noProof/>
          <w:color w:val="101820"/>
          <w:szCs w:val="20"/>
        </w:rPr>
        <mc:AlternateContent>
          <mc:Choice Requires="wps">
            <w:drawing>
              <wp:anchor distT="0" distB="0" distL="114300" distR="114300" simplePos="0" relativeHeight="251660800" behindDoc="0" locked="0" layoutInCell="1" allowOverlap="1" wp14:anchorId="540550E7" wp14:editId="6AFD9CE2">
                <wp:simplePos x="0" y="0"/>
                <wp:positionH relativeFrom="column">
                  <wp:posOffset>5080</wp:posOffset>
                </wp:positionH>
                <wp:positionV relativeFrom="paragraph">
                  <wp:posOffset>5168265</wp:posOffset>
                </wp:positionV>
                <wp:extent cx="1382395" cy="91440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23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5937F9" w14:textId="77777777" w:rsidR="0016508D" w:rsidRDefault="0016508D" w:rsidP="00C279E7">
                            <w:pPr>
                              <w:pStyle w:val="UVAC-Bodycopy-notindented"/>
                              <w:rPr>
                                <w:color w:val="FFFFFF" w:themeColor="background1"/>
                              </w:rPr>
                            </w:pPr>
                            <w:r>
                              <w:rPr>
                                <w:rFonts w:ascii="Batang" w:eastAsia="Batang" w:hAnsi="Batang" w:hint="eastAsia"/>
                                <w:color w:val="FFFFFF" w:themeColor="background1"/>
                              </w:rPr>
                              <w:t>©</w:t>
                            </w:r>
                            <w:r>
                              <w:rPr>
                                <w:rFonts w:ascii="Batang" w:eastAsia="Batang" w:hAnsi="Batang"/>
                                <w:color w:val="FFFFFF" w:themeColor="background1"/>
                              </w:rPr>
                              <w:t xml:space="preserve"> </w:t>
                            </w:r>
                            <w:r>
                              <w:rPr>
                                <w:color w:val="FFFFFF" w:themeColor="background1"/>
                              </w:rPr>
                              <w:t xml:space="preserve">UVAC and the Centre for Degree Apprenticeships </w:t>
                            </w:r>
                          </w:p>
                          <w:p w14:paraId="49C4FA23" w14:textId="10BAEA23" w:rsidR="0016508D" w:rsidRPr="001E2033" w:rsidRDefault="0016508D" w:rsidP="00C279E7">
                            <w:pPr>
                              <w:pStyle w:val="UVAC-Bodycopy-notindented"/>
                              <w:rPr>
                                <w:color w:val="FFFFFF" w:themeColor="background1"/>
                              </w:rPr>
                            </w:pPr>
                            <w:r>
                              <w:rPr>
                                <w:color w:val="FFFFFF" w:themeColor="background1"/>
                              </w:rPr>
                              <w:t xml:space="preserve">September </w:t>
                            </w:r>
                            <w:r w:rsidR="00346E83">
                              <w:rPr>
                                <w:color w:val="FFFFFF" w:themeColor="background1"/>
                              </w:rPr>
                              <w:t>2021</w:t>
                            </w:r>
                          </w:p>
                          <w:p w14:paraId="24BCF0C6" w14:textId="77777777" w:rsidR="0016508D" w:rsidRPr="001E2033" w:rsidRDefault="0016508D" w:rsidP="001E2033">
                            <w:pPr>
                              <w:pStyle w:val="UVAC-Bodycopy-notindented"/>
                              <w:rPr>
                                <w:color w:val="FFFFFF" w:themeColor="background1"/>
                              </w:rPr>
                            </w:pPr>
                          </w:p>
                          <w:p w14:paraId="7F6DB085" w14:textId="77777777" w:rsidR="0016508D" w:rsidRPr="001E2033" w:rsidRDefault="0016508D" w:rsidP="001E2033">
                            <w:pPr>
                              <w:pStyle w:val="UVAC-Bodycopy-notindented"/>
                              <w:rPr>
                                <w:color w:val="FFFFFF" w:themeColor="background1"/>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40550E7" id="_x0000_t202" coordsize="21600,21600" o:spt="202" path="m,l,21600r21600,l21600,xe">
                <v:stroke joinstyle="miter"/>
                <v:path gradientshapeok="t" o:connecttype="rect"/>
              </v:shapetype>
              <v:shape id="Text Box 33" o:spid="_x0000_s1026" type="#_x0000_t202" style="position:absolute;margin-left:.4pt;margin-top:406.95pt;width:108.8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" filled="f" stroked="f" strokeweight=".5pt">
                <v:path arrowok="t"/>
                <v:textbox inset="0,0,0,0">
                  <w:txbxContent>
                    <w:p w14:paraId="105937F9" w14:textId="77777777" w:rsidR="0016508D" w:rsidRDefault="0016508D" w:rsidP="00C279E7">
                      <w:pPr>
                        <w:pStyle w:val="UVAC-Bodycopy-notindented"/>
                        <w:rPr>
                          <w:color w:val="FFFFFF" w:themeColor="background1"/>
                        </w:rPr>
                      </w:pPr>
                      <w:r>
                        <w:rPr>
                          <w:rFonts w:ascii="Batang" w:eastAsia="Batang" w:hAnsi="Batang" w:hint="eastAsia"/>
                          <w:color w:val="FFFFFF" w:themeColor="background1"/>
                        </w:rPr>
                        <w:t>©</w:t>
                      </w:r>
                      <w:r>
                        <w:rPr>
                          <w:rFonts w:ascii="Batang" w:eastAsia="Batang" w:hAnsi="Batang"/>
                          <w:color w:val="FFFFFF" w:themeColor="background1"/>
                        </w:rPr>
                        <w:t xml:space="preserve"> </w:t>
                      </w:r>
                      <w:r>
                        <w:rPr>
                          <w:color w:val="FFFFFF" w:themeColor="background1"/>
                        </w:rPr>
                        <w:t xml:space="preserve">UVAC and the Centre for Degree Apprenticeships </w:t>
                      </w:r>
                    </w:p>
                    <w:p w14:paraId="49C4FA23" w14:textId="10BAEA23" w:rsidR="0016508D" w:rsidRPr="001E2033" w:rsidRDefault="0016508D" w:rsidP="00C279E7">
                      <w:pPr>
                        <w:pStyle w:val="UVAC-Bodycopy-notindented"/>
                        <w:rPr>
                          <w:color w:val="FFFFFF" w:themeColor="background1"/>
                        </w:rPr>
                      </w:pPr>
                      <w:r>
                        <w:rPr>
                          <w:color w:val="FFFFFF" w:themeColor="background1"/>
                        </w:rPr>
                        <w:t xml:space="preserve">September </w:t>
                      </w:r>
                      <w:r w:rsidR="00346E83">
                        <w:rPr>
                          <w:color w:val="FFFFFF" w:themeColor="background1"/>
                        </w:rPr>
                        <w:t>2021</w:t>
                      </w:r>
                    </w:p>
                    <w:p w14:paraId="24BCF0C6" w14:textId="77777777" w:rsidR="0016508D" w:rsidRPr="001E2033" w:rsidRDefault="0016508D" w:rsidP="001E2033">
                      <w:pPr>
                        <w:pStyle w:val="UVAC-Bodycopy-notindented"/>
                        <w:rPr>
                          <w:color w:val="FFFFFF" w:themeColor="background1"/>
                        </w:rPr>
                      </w:pPr>
                    </w:p>
                    <w:p w14:paraId="7F6DB085" w14:textId="77777777" w:rsidR="0016508D" w:rsidRPr="001E2033" w:rsidRDefault="0016508D" w:rsidP="001E2033">
                      <w:pPr>
                        <w:pStyle w:val="UVAC-Bodycopy-notindented"/>
                        <w:rPr>
                          <w:color w:val="FFFFFF" w:themeColor="background1"/>
                        </w:rPr>
                      </w:pPr>
                    </w:p>
                  </w:txbxContent>
                </v:textbox>
              </v:shape>
            </w:pict>
          </mc:Fallback>
        </mc:AlternateContent>
      </w:r>
      <w:r>
        <w:rPr>
          <w:rFonts w:cs="Open Sans"/>
          <w:noProof/>
          <w:color w:val="101820"/>
          <w:szCs w:val="20"/>
        </w:rPr>
        <mc:AlternateContent>
          <mc:Choice Requires="wps">
            <w:drawing>
              <wp:anchor distT="0" distB="0" distL="114300" distR="114300" simplePos="0" relativeHeight="251659776" behindDoc="0" locked="0" layoutInCell="1" allowOverlap="1" wp14:anchorId="1E788AAE" wp14:editId="116D035D">
                <wp:simplePos x="0" y="0"/>
                <wp:positionH relativeFrom="column">
                  <wp:posOffset>2227580</wp:posOffset>
                </wp:positionH>
                <wp:positionV relativeFrom="paragraph">
                  <wp:posOffset>5149215</wp:posOffset>
                </wp:positionV>
                <wp:extent cx="3891280" cy="30886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1280" cy="308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E4C134" w14:textId="2E9BCEAF" w:rsidR="0016508D" w:rsidRPr="00346E83" w:rsidRDefault="00346E83" w:rsidP="001E2033">
                            <w:pPr>
                              <w:pStyle w:val="UVAC-Coversub-line"/>
                              <w:rPr>
                                <w:rFonts w:ascii="Catamaran SemiBold" w:hAnsi="Catamaran SemiBold" w:cs="Catamaran SemiBold"/>
                                <w:b/>
                                <w:bCs/>
                                <w:noProof w:val="0"/>
                                <w:color w:val="FFFFFF" w:themeColor="background1"/>
                                <w:kern w:val="48"/>
                                <w:sz w:val="56"/>
                                <w:szCs w:val="56"/>
                              </w:rPr>
                            </w:pPr>
                            <w:r w:rsidRPr="00346E83">
                              <w:rPr>
                                <w:rFonts w:ascii="Catamaran SemiBold" w:hAnsi="Catamaran SemiBold" w:cs="Catamaran SemiBold"/>
                                <w:b/>
                                <w:bCs/>
                                <w:noProof w:val="0"/>
                                <w:color w:val="FFFFFF" w:themeColor="background1"/>
                                <w:kern w:val="48"/>
                                <w:sz w:val="56"/>
                                <w:szCs w:val="56"/>
                              </w:rPr>
                              <w:t>Higher Technical Qualifications</w:t>
                            </w:r>
                          </w:p>
                          <w:p w14:paraId="2FD4C241" w14:textId="734AA423" w:rsidR="0016508D" w:rsidRPr="00346E83" w:rsidRDefault="00346E83" w:rsidP="001E2033">
                            <w:pPr>
                              <w:pStyle w:val="UVAC-Coversub-line"/>
                              <w:rPr>
                                <w:b/>
                                <w:bCs/>
                                <w:color w:val="FFFFFF" w:themeColor="background1"/>
                                <w:sz w:val="96"/>
                                <w:szCs w:val="96"/>
                              </w:rPr>
                            </w:pPr>
                            <w:r w:rsidRPr="00346E83">
                              <w:rPr>
                                <w:b/>
                                <w:bCs/>
                                <w:color w:val="FFFFFF" w:themeColor="background1"/>
                                <w:sz w:val="96"/>
                                <w:szCs w:val="96"/>
                              </w:rPr>
                              <w:t>UVAC IN FOCUS</w:t>
                            </w:r>
                          </w:p>
                          <w:p w14:paraId="102D13B4" w14:textId="77777777" w:rsidR="0016508D" w:rsidRDefault="0016508D" w:rsidP="001E2033">
                            <w:pPr>
                              <w:pStyle w:val="UVAC-Coversub-line"/>
                              <w:rPr>
                                <w:b/>
                                <w:bCs/>
                                <w:color w:val="FFFFFF" w:themeColor="background1"/>
                                <w:sz w:val="48"/>
                                <w:szCs w:val="48"/>
                              </w:rPr>
                            </w:pPr>
                          </w:p>
                          <w:p w14:paraId="2C599CEF" w14:textId="77777777" w:rsidR="0016508D" w:rsidRDefault="0016508D"/>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E788AAE" id="Text Box 32" o:spid="_x0000_s1027" type="#_x0000_t202" style="position:absolute;margin-left:175.4pt;margin-top:405.45pt;width:306.4pt;height:2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" filled="f" stroked="f" strokeweight=".5pt">
                <v:path arrowok="t"/>
                <v:textbox inset="0,0,0,0">
                  <w:txbxContent>
                    <w:p w14:paraId="31E4C134" w14:textId="2E9BCEAF" w:rsidR="0016508D" w:rsidRPr="00346E83" w:rsidRDefault="00346E83" w:rsidP="001E2033">
                      <w:pPr>
                        <w:pStyle w:val="UVAC-Coversub-line"/>
                        <w:rPr>
                          <w:rFonts w:ascii="Catamaran SemiBold" w:hAnsi="Catamaran SemiBold" w:cs="Catamaran SemiBold"/>
                          <w:b/>
                          <w:bCs/>
                          <w:noProof w:val="0"/>
                          <w:color w:val="FFFFFF" w:themeColor="background1"/>
                          <w:kern w:val="48"/>
                          <w:sz w:val="56"/>
                          <w:szCs w:val="56"/>
                        </w:rPr>
                      </w:pPr>
                      <w:r w:rsidRPr="00346E83">
                        <w:rPr>
                          <w:rFonts w:ascii="Catamaran SemiBold" w:hAnsi="Catamaran SemiBold" w:cs="Catamaran SemiBold"/>
                          <w:b/>
                          <w:bCs/>
                          <w:noProof w:val="0"/>
                          <w:color w:val="FFFFFF" w:themeColor="background1"/>
                          <w:kern w:val="48"/>
                          <w:sz w:val="56"/>
                          <w:szCs w:val="56"/>
                        </w:rPr>
                        <w:t>Higher Technical Qualifications</w:t>
                      </w:r>
                    </w:p>
                    <w:p w14:paraId="2FD4C241" w14:textId="734AA423" w:rsidR="0016508D" w:rsidRPr="00346E83" w:rsidRDefault="00346E83" w:rsidP="001E2033">
                      <w:pPr>
                        <w:pStyle w:val="UVAC-Coversub-line"/>
                        <w:rPr>
                          <w:b/>
                          <w:bCs/>
                          <w:color w:val="FFFFFF" w:themeColor="background1"/>
                          <w:sz w:val="96"/>
                          <w:szCs w:val="96"/>
                        </w:rPr>
                      </w:pPr>
                      <w:r w:rsidRPr="00346E83">
                        <w:rPr>
                          <w:b/>
                          <w:bCs/>
                          <w:color w:val="FFFFFF" w:themeColor="background1"/>
                          <w:sz w:val="96"/>
                          <w:szCs w:val="96"/>
                        </w:rPr>
                        <w:t>UVAC IN FOCUS</w:t>
                      </w:r>
                    </w:p>
                    <w:p w14:paraId="102D13B4" w14:textId="77777777" w:rsidR="0016508D" w:rsidRDefault="0016508D" w:rsidP="001E2033">
                      <w:pPr>
                        <w:pStyle w:val="UVAC-Coversub-line"/>
                        <w:rPr>
                          <w:b/>
                          <w:bCs/>
                          <w:color w:val="FFFFFF" w:themeColor="background1"/>
                          <w:sz w:val="48"/>
                          <w:szCs w:val="48"/>
                        </w:rPr>
                      </w:pPr>
                    </w:p>
                    <w:p w14:paraId="2C599CEF" w14:textId="77777777" w:rsidR="0016508D" w:rsidRDefault="0016508D"/>
                  </w:txbxContent>
                </v:textbox>
              </v:shape>
            </w:pict>
          </mc:Fallback>
        </mc:AlternateContent>
      </w:r>
      <w:r w:rsidR="00650705">
        <w:rPr>
          <w:rFonts w:cs="Open Sans"/>
          <w:color w:val="101820"/>
          <w:szCs w:val="20"/>
        </w:rPr>
        <w:br w:type="page"/>
      </w:r>
      <w:r w:rsidR="00650705">
        <w:rPr>
          <w:noProof/>
          <w:lang w:val="en-US"/>
        </w:rPr>
        <w:drawing>
          <wp:anchor distT="0" distB="0" distL="114300" distR="114300" simplePos="0" relativeHeight="251658752" behindDoc="1" locked="1" layoutInCell="1" allowOverlap="1" wp14:anchorId="6246CF39" wp14:editId="518895BF">
            <wp:simplePos x="0" y="0"/>
            <wp:positionH relativeFrom="page">
              <wp:posOffset>-44450</wp:posOffset>
            </wp:positionH>
            <wp:positionV relativeFrom="page">
              <wp:posOffset>0</wp:posOffset>
            </wp:positionV>
            <wp:extent cx="7552690" cy="10688320"/>
            <wp:effectExtent l="0" t="0" r="381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_A4_Cover_No image-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690" cy="10688320"/>
                    </a:xfrm>
                    <a:prstGeom prst="rect">
                      <a:avLst/>
                    </a:prstGeom>
                  </pic:spPr>
                </pic:pic>
              </a:graphicData>
            </a:graphic>
          </wp:anchor>
        </w:drawing>
      </w:r>
    </w:p>
    <w:sdt>
      <w:sdtPr>
        <w:rPr>
          <w:rFonts w:cs="Open Sans"/>
          <w:color w:val="101820"/>
          <w:szCs w:val="20"/>
        </w:rPr>
        <w:id w:val="597916664"/>
        <w:docPartObj>
          <w:docPartGallery w:val="Cover Pages"/>
          <w:docPartUnique/>
        </w:docPartObj>
      </w:sdtPr>
      <w:sdtEndPr/>
      <w:sdtContent>
        <w:p w14:paraId="37237B65" w14:textId="77777777" w:rsidR="00A9189C" w:rsidRPr="00604B4C" w:rsidRDefault="00A9189C" w:rsidP="00604B4C">
          <w:pPr>
            <w:ind w:left="0"/>
          </w:pPr>
        </w:p>
        <w:p w14:paraId="67419CC4" w14:textId="77777777" w:rsidR="0065259B" w:rsidRDefault="007850F9" w:rsidP="00943A59">
          <w:pPr>
            <w:pStyle w:val="UVAC-Bodycopy-notindented"/>
          </w:pPr>
        </w:p>
      </w:sdtContent>
    </w:sdt>
    <w:p w14:paraId="5B280B8E" w14:textId="77777777" w:rsidR="00DD23A8" w:rsidRPr="00B0517E" w:rsidRDefault="005F7ED7" w:rsidP="00B0517E">
      <w:pPr>
        <w:pStyle w:val="UVAC-Bodycopy"/>
        <w:ind w:left="0"/>
        <w:rPr>
          <w:sz w:val="18"/>
          <w:szCs w:val="18"/>
        </w:rPr>
      </w:pPr>
      <w:r>
        <w:rPr>
          <w:noProof/>
        </w:rPr>
        <mc:AlternateContent>
          <mc:Choice Requires="wps">
            <w:drawing>
              <wp:anchor distT="0" distB="0" distL="114300" distR="114300" simplePos="0" relativeHeight="251656704" behindDoc="0" locked="0" layoutInCell="1" allowOverlap="1" wp14:anchorId="7FE5AAA2" wp14:editId="3B42C534">
                <wp:simplePos x="0" y="0"/>
                <wp:positionH relativeFrom="column">
                  <wp:posOffset>4863587</wp:posOffset>
                </wp:positionH>
                <wp:positionV relativeFrom="paragraph">
                  <wp:posOffset>7092517</wp:posOffset>
                </wp:positionV>
                <wp:extent cx="1254125" cy="1493195"/>
                <wp:effectExtent l="0" t="0" r="317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149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BA2497" w14:textId="77777777" w:rsidR="0016508D" w:rsidRDefault="0016508D" w:rsidP="00F16FEF">
                            <w:pPr>
                              <w:pStyle w:val="UVAC-Bodycopy-notindented"/>
                              <w:spacing w:before="0" w:beforeAutospacing="0" w:after="120"/>
                            </w:pPr>
                            <w:proofErr w:type="spellStart"/>
                            <w:r>
                              <w:t>Universtiy</w:t>
                            </w:r>
                            <w:proofErr w:type="spellEnd"/>
                            <w:r>
                              <w:t xml:space="preserve"> Vocational </w:t>
                            </w:r>
                            <w:r>
                              <w:br/>
                              <w:t>Awards Council,</w:t>
                            </w:r>
                            <w:r w:rsidRPr="00A74FC0">
                              <w:t xml:space="preserve"> </w:t>
                            </w:r>
                            <w:r w:rsidRPr="00A74FC0">
                              <w:br/>
                              <w:t>University of Bolton</w:t>
                            </w:r>
                            <w:r>
                              <w:t>,</w:t>
                            </w:r>
                            <w:r w:rsidRPr="00A74FC0">
                              <w:t xml:space="preserve"> </w:t>
                            </w:r>
                            <w:r w:rsidRPr="00A74FC0">
                              <w:br/>
                              <w:t>Z3-32 Eagle House</w:t>
                            </w:r>
                            <w:r>
                              <w:t>,</w:t>
                            </w:r>
                            <w:r w:rsidRPr="00A74FC0">
                              <w:t xml:space="preserve"> </w:t>
                            </w:r>
                            <w:r w:rsidRPr="00A74FC0">
                              <w:br/>
                              <w:t>Bolton, BL3 5AB</w:t>
                            </w:r>
                          </w:p>
                          <w:p w14:paraId="4C1A8135" w14:textId="77777777" w:rsidR="0016508D" w:rsidRPr="00F16FEF" w:rsidRDefault="007850F9" w:rsidP="00F16FEF">
                            <w:pPr>
                              <w:pStyle w:val="UVAC-Bodycopy-notindented"/>
                              <w:spacing w:before="0" w:beforeAutospacing="0"/>
                              <w:rPr>
                                <w:rStyle w:val="Hyperlink"/>
                              </w:rPr>
                            </w:pPr>
                            <w:hyperlink r:id="rId9" w:history="1">
                              <w:r w:rsidR="0016508D" w:rsidRPr="00FF1B03">
                                <w:rPr>
                                  <w:rStyle w:val="Hyperlink"/>
                                </w:rPr>
                                <w:t>www.uvac.ac.uk</w:t>
                              </w:r>
                            </w:hyperlink>
                          </w:p>
                          <w:p w14:paraId="2FDBAB9E" w14:textId="77777777" w:rsidR="0016508D" w:rsidRPr="000F6179" w:rsidRDefault="007850F9" w:rsidP="00F16FEF">
                            <w:pPr>
                              <w:pStyle w:val="UVAC-Bodycopy-notindented"/>
                              <w:spacing w:before="0" w:beforeAutospacing="0"/>
                              <w:rPr>
                                <w:rStyle w:val="Hyperlink"/>
                              </w:rPr>
                            </w:pPr>
                            <w:hyperlink r:id="rId10" w:history="1">
                              <w:r w:rsidR="0016508D" w:rsidRPr="000F6179">
                                <w:rPr>
                                  <w:rStyle w:val="Hyperlink"/>
                                </w:rPr>
                                <w:t>uvac@bolton.ac.uk</w:t>
                              </w:r>
                            </w:hyperlink>
                          </w:p>
                          <w:p w14:paraId="19538C51" w14:textId="77777777" w:rsidR="0016508D" w:rsidRDefault="0016508D" w:rsidP="00F16FEF">
                            <w:pPr>
                              <w:pStyle w:val="UVAC-Bodycopy-notindented"/>
                              <w:spacing w:before="0" w:beforeAutospacing="0"/>
                            </w:pPr>
                            <w:r w:rsidRPr="00A74FC0">
                              <w:t>07763 820713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5AAA2" id="Text Box 16" o:spid="_x0000_s1028" type="#_x0000_t202" style="position:absolute;margin-left:382.95pt;margin-top:558.45pt;width:98.75pt;height:1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" filled="f" stroked="f" strokeweight=".5pt">
                <v:path arrowok="t"/>
                <v:textbox inset="0,0,0,0">
                  <w:txbxContent>
                    <w:p w14:paraId="3CBA2497" w14:textId="77777777" w:rsidR="0016508D" w:rsidRDefault="0016508D" w:rsidP="00F16FEF">
                      <w:pPr>
                        <w:pStyle w:val="UVAC-Bodycopy-notindented"/>
                        <w:spacing w:before="0" w:beforeAutospacing="0" w:after="120"/>
                      </w:pPr>
                      <w:proofErr w:type="spellStart"/>
                      <w:r>
                        <w:t>Universtiy</w:t>
                      </w:r>
                      <w:proofErr w:type="spellEnd"/>
                      <w:r>
                        <w:t xml:space="preserve"> Vocational </w:t>
                      </w:r>
                      <w:r>
                        <w:br/>
                        <w:t>Awards Council,</w:t>
                      </w:r>
                      <w:r w:rsidRPr="00A74FC0">
                        <w:t xml:space="preserve"> </w:t>
                      </w:r>
                      <w:r w:rsidRPr="00A74FC0">
                        <w:br/>
                        <w:t>University of Bolton</w:t>
                      </w:r>
                      <w:r>
                        <w:t>,</w:t>
                      </w:r>
                      <w:r w:rsidRPr="00A74FC0">
                        <w:t xml:space="preserve"> </w:t>
                      </w:r>
                      <w:r w:rsidRPr="00A74FC0">
                        <w:br/>
                        <w:t>Z3-32 Eagle House</w:t>
                      </w:r>
                      <w:r>
                        <w:t>,</w:t>
                      </w:r>
                      <w:r w:rsidRPr="00A74FC0">
                        <w:t xml:space="preserve"> </w:t>
                      </w:r>
                      <w:r w:rsidRPr="00A74FC0">
                        <w:br/>
                        <w:t>Bolton, BL3 5AB</w:t>
                      </w:r>
                    </w:p>
                    <w:p w14:paraId="4C1A8135" w14:textId="77777777" w:rsidR="0016508D" w:rsidRPr="00F16FEF" w:rsidRDefault="007850F9" w:rsidP="00F16FEF">
                      <w:pPr>
                        <w:pStyle w:val="UVAC-Bodycopy-notindented"/>
                        <w:spacing w:before="0" w:beforeAutospacing="0"/>
                        <w:rPr>
                          <w:rStyle w:val="Hyperlink"/>
                        </w:rPr>
                      </w:pPr>
                      <w:hyperlink r:id="rId11" w:history="1">
                        <w:r w:rsidR="0016508D" w:rsidRPr="00FF1B03">
                          <w:rPr>
                            <w:rStyle w:val="Hyperlink"/>
                          </w:rPr>
                          <w:t>www.uvac.ac.uk</w:t>
                        </w:r>
                      </w:hyperlink>
                    </w:p>
                    <w:p w14:paraId="2FDBAB9E" w14:textId="77777777" w:rsidR="0016508D" w:rsidRPr="000F6179" w:rsidRDefault="007850F9" w:rsidP="00F16FEF">
                      <w:pPr>
                        <w:pStyle w:val="UVAC-Bodycopy-notindented"/>
                        <w:spacing w:before="0" w:beforeAutospacing="0"/>
                        <w:rPr>
                          <w:rStyle w:val="Hyperlink"/>
                        </w:rPr>
                      </w:pPr>
                      <w:hyperlink r:id="rId12" w:history="1">
                        <w:r w:rsidR="0016508D" w:rsidRPr="000F6179">
                          <w:rPr>
                            <w:rStyle w:val="Hyperlink"/>
                          </w:rPr>
                          <w:t>uvac@bolton.ac.uk</w:t>
                        </w:r>
                      </w:hyperlink>
                    </w:p>
                    <w:p w14:paraId="19538C51" w14:textId="77777777" w:rsidR="0016508D" w:rsidRDefault="0016508D" w:rsidP="00F16FEF">
                      <w:pPr>
                        <w:pStyle w:val="UVAC-Bodycopy-notindented"/>
                        <w:spacing w:before="0" w:beforeAutospacing="0"/>
                      </w:pPr>
                      <w:r w:rsidRPr="00A74FC0">
                        <w:t>07763 820713</w:t>
                      </w:r>
                    </w:p>
                  </w:txbxContent>
                </v:textbox>
              </v:shape>
            </w:pict>
          </mc:Fallback>
        </mc:AlternateContent>
      </w:r>
      <w:r>
        <w:rPr>
          <w:noProof/>
        </w:rPr>
        <mc:AlternateContent>
          <mc:Choice Requires="wps">
            <w:drawing>
              <wp:anchor distT="0" distB="0" distL="114300" distR="114300" simplePos="0" relativeHeight="251654656" behindDoc="0" locked="1" layoutInCell="1" allowOverlap="1" wp14:anchorId="4D7A0C8B" wp14:editId="7CF7F38D">
                <wp:simplePos x="0" y="0"/>
                <wp:positionH relativeFrom="page">
                  <wp:posOffset>720090</wp:posOffset>
                </wp:positionH>
                <wp:positionV relativeFrom="page">
                  <wp:posOffset>1080135</wp:posOffset>
                </wp:positionV>
                <wp:extent cx="5680075" cy="7218045"/>
                <wp:effectExtent l="0" t="0" r="9525" b="825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0075" cy="721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94FD9A" w14:textId="77777777" w:rsidR="0016508D" w:rsidRPr="008424CC" w:rsidRDefault="0016508D" w:rsidP="008424CC">
                            <w:pPr>
                              <w:pStyle w:val="UVAC-Contentstitle"/>
                            </w:pPr>
                            <w:r w:rsidRPr="008424CC">
                              <w:t>Contents.</w:t>
                            </w:r>
                          </w:p>
                          <w:p w14:paraId="19D1BCA3" w14:textId="53B8E9DE" w:rsidR="0016508D" w:rsidRPr="008424CC" w:rsidRDefault="00346E83" w:rsidP="008C04CF">
                            <w:pPr>
                              <w:pStyle w:val="UVAC-Contents-Chapternumber"/>
                              <w:numPr>
                                <w:ilvl w:val="0"/>
                                <w:numId w:val="2"/>
                              </w:numPr>
                            </w:pPr>
                            <w:r>
                              <w:t>What is Higher Technical Education (HTE)?</w:t>
                            </w:r>
                            <w:r w:rsidR="0016508D" w:rsidRPr="008424CC">
                              <w:tab/>
                            </w:r>
                          </w:p>
                          <w:p w14:paraId="1E3E7BD4" w14:textId="77777777" w:rsidR="0016508D" w:rsidRDefault="0016508D" w:rsidP="000F6179">
                            <w:pPr>
                              <w:pStyle w:val="UVAC-Contents-Chaptertitle"/>
                            </w:pPr>
                          </w:p>
                          <w:p w14:paraId="5E2139D9" w14:textId="188E5C26" w:rsidR="0016508D" w:rsidRPr="00492EDA" w:rsidRDefault="00346E83" w:rsidP="008C04CF">
                            <w:pPr>
                              <w:pStyle w:val="UVAC-Contents-Chapternumber"/>
                              <w:numPr>
                                <w:ilvl w:val="0"/>
                                <w:numId w:val="2"/>
                              </w:numPr>
                            </w:pPr>
                            <w:r>
                              <w:t>What are Higher Technical Qualifications (HTQs)</w:t>
                            </w:r>
                            <w:r w:rsidR="0016508D" w:rsidRPr="00492EDA">
                              <w:tab/>
                            </w:r>
                          </w:p>
                          <w:p w14:paraId="3BB51EC3" w14:textId="77777777" w:rsidR="0016508D" w:rsidRDefault="0016508D" w:rsidP="000F6179">
                            <w:pPr>
                              <w:pStyle w:val="UVAC-Contents-Chaptertitle"/>
                            </w:pPr>
                          </w:p>
                          <w:p w14:paraId="2E69EC04" w14:textId="17E3CE0C" w:rsidR="0016508D" w:rsidRPr="009838EF" w:rsidRDefault="00346E83" w:rsidP="008C04CF">
                            <w:pPr>
                              <w:pStyle w:val="UVAC-Contents-Chapternumber"/>
                              <w:numPr>
                                <w:ilvl w:val="0"/>
                                <w:numId w:val="2"/>
                              </w:numPr>
                            </w:pPr>
                            <w:r>
                              <w:t>Will the Push to Expand THE/HTQs be at the Expense of Level 6 University Provision</w:t>
                            </w:r>
                            <w:r w:rsidR="0016508D">
                              <w:t>?</w:t>
                            </w:r>
                          </w:p>
                          <w:p w14:paraId="309032BD" w14:textId="77777777" w:rsidR="0016508D" w:rsidRPr="00DD23A8" w:rsidRDefault="0016508D" w:rsidP="000F6179">
                            <w:pPr>
                              <w:pStyle w:val="UVAC-Contents-Chaptertitle"/>
                            </w:pPr>
                          </w:p>
                          <w:p w14:paraId="26F75BF9" w14:textId="5D5EF5BE" w:rsidR="0016508D" w:rsidRPr="009838EF" w:rsidRDefault="00346E83" w:rsidP="008C04CF">
                            <w:pPr>
                              <w:pStyle w:val="UVAC-Contents-Chapternumber"/>
                              <w:numPr>
                                <w:ilvl w:val="0"/>
                                <w:numId w:val="2"/>
                              </w:numPr>
                            </w:pPr>
                            <w:r>
                              <w:t>Why is the HTE/HTQ Agenda of Importance to Universities</w:t>
                            </w:r>
                            <w:r w:rsidR="0016508D">
                              <w:t>?</w:t>
                            </w:r>
                            <w:r w:rsidR="0016508D">
                              <w:tab/>
                            </w:r>
                          </w:p>
                          <w:p w14:paraId="7A9014BA" w14:textId="77777777" w:rsidR="0016508D" w:rsidRPr="009838EF" w:rsidRDefault="0016508D" w:rsidP="00B61992">
                            <w:pPr>
                              <w:pStyle w:val="UVAC-Contents-Chaptertitle"/>
                              <w:pBdr>
                                <w:bottom w:val="single" w:sz="4" w:space="1" w:color="CFD1D2"/>
                              </w:pBdr>
                              <w:rPr>
                                <w:sz w:val="28"/>
                                <w:szCs w:val="28"/>
                              </w:rPr>
                            </w:pPr>
                          </w:p>
                          <w:p w14:paraId="04782965" w14:textId="4FF2171A" w:rsidR="0016508D" w:rsidRPr="009838EF" w:rsidRDefault="00346E83" w:rsidP="008C04CF">
                            <w:pPr>
                              <w:pStyle w:val="UVAC-Contents-Chapternumber"/>
                              <w:numPr>
                                <w:ilvl w:val="0"/>
                                <w:numId w:val="2"/>
                              </w:numPr>
                            </w:pPr>
                            <w:r>
                              <w:t>How do HTQs relate to new T Levels</w:t>
                            </w:r>
                            <w:r w:rsidR="0016508D">
                              <w:t>?</w:t>
                            </w:r>
                            <w:r w:rsidR="0016508D">
                              <w:tab/>
                            </w:r>
                          </w:p>
                          <w:p w14:paraId="10D8CB0E" w14:textId="77777777" w:rsidR="0016508D" w:rsidRPr="009838EF" w:rsidRDefault="0016508D" w:rsidP="000F6179">
                            <w:pPr>
                              <w:pStyle w:val="UVAC-Contents-Chaptertitle"/>
                              <w:rPr>
                                <w:sz w:val="28"/>
                                <w:szCs w:val="28"/>
                              </w:rPr>
                            </w:pPr>
                          </w:p>
                          <w:p w14:paraId="67F296E0" w14:textId="22BF2EBD" w:rsidR="0016508D" w:rsidRPr="009838EF" w:rsidRDefault="00346E83" w:rsidP="008C04CF">
                            <w:pPr>
                              <w:pStyle w:val="UVAC-Contents-Chapternumber"/>
                              <w:numPr>
                                <w:ilvl w:val="0"/>
                                <w:numId w:val="2"/>
                              </w:numPr>
                            </w:pPr>
                            <w:r>
                              <w:t>How are HTQs Funded?</w:t>
                            </w:r>
                            <w:r w:rsidR="0016508D">
                              <w:tab/>
                            </w:r>
                          </w:p>
                          <w:p w14:paraId="6092F174" w14:textId="77777777" w:rsidR="0016508D" w:rsidRPr="009838EF" w:rsidRDefault="0016508D" w:rsidP="000F6179">
                            <w:pPr>
                              <w:pStyle w:val="UVAC-Contents-Chaptertitle"/>
                              <w:rPr>
                                <w:sz w:val="28"/>
                                <w:szCs w:val="28"/>
                              </w:rPr>
                            </w:pPr>
                          </w:p>
                          <w:p w14:paraId="0045E66E" w14:textId="6F75B8A9" w:rsidR="0016508D" w:rsidRPr="009838EF" w:rsidRDefault="00346E83" w:rsidP="008C04CF">
                            <w:pPr>
                              <w:pStyle w:val="UVAC-Contents-Chapternumber"/>
                              <w:numPr>
                                <w:ilvl w:val="0"/>
                                <w:numId w:val="2"/>
                              </w:numPr>
                            </w:pPr>
                            <w:r>
                              <w:t>Who Quality Assures HTQs?</w:t>
                            </w:r>
                          </w:p>
                          <w:p w14:paraId="14A5C409" w14:textId="77777777" w:rsidR="0016508D" w:rsidRPr="000F6179" w:rsidRDefault="0016508D" w:rsidP="000F6179">
                            <w:pPr>
                              <w:pStyle w:val="UVAC-Contents-Chaptertitle"/>
                            </w:pPr>
                          </w:p>
                          <w:p w14:paraId="365E37FB" w14:textId="44D0D4B6" w:rsidR="0016508D" w:rsidRPr="009838EF" w:rsidRDefault="00346E83" w:rsidP="008C04CF">
                            <w:pPr>
                              <w:pStyle w:val="UVAC-Contents-Chapternumber"/>
                              <w:numPr>
                                <w:ilvl w:val="0"/>
                                <w:numId w:val="2"/>
                              </w:numPr>
                            </w:pPr>
                            <w:r>
                              <w:t>What is the Timetable for the Rollout of the Reforms to Technical Education and HTQs?</w:t>
                            </w:r>
                            <w:r w:rsidR="0016508D">
                              <w:tab/>
                            </w:r>
                          </w:p>
                          <w:p w14:paraId="57966E8E" w14:textId="77777777" w:rsidR="0016508D" w:rsidRPr="00137FFA" w:rsidRDefault="0016508D" w:rsidP="000F6179">
                            <w:pPr>
                              <w:pStyle w:val="UVAC-Contents-Chaptertitle"/>
                            </w:pPr>
                          </w:p>
                          <w:p w14:paraId="411C2FDA" w14:textId="18A98708" w:rsidR="0016508D" w:rsidRPr="009838EF" w:rsidRDefault="00346E83" w:rsidP="008C04CF">
                            <w:pPr>
                              <w:pStyle w:val="UVAC-Contents-Chapternumber"/>
                              <w:numPr>
                                <w:ilvl w:val="0"/>
                                <w:numId w:val="2"/>
                              </w:numPr>
                            </w:pPr>
                            <w:r>
                              <w:t>How can Universities Engage in the THE/HTQ Agenda?</w:t>
                            </w:r>
                            <w:r w:rsidR="0016508D">
                              <w:tab/>
                            </w:r>
                          </w:p>
                          <w:p w14:paraId="7164981B" w14:textId="77777777" w:rsidR="0016508D" w:rsidRPr="00137FFA" w:rsidRDefault="0016508D" w:rsidP="00804531">
                            <w:pPr>
                              <w:pStyle w:val="UVAC-Contents-Chaptertitle"/>
                            </w:pPr>
                          </w:p>
                          <w:p w14:paraId="7F274E4D" w14:textId="1DDBFE7E" w:rsidR="0016508D" w:rsidRDefault="00346E83" w:rsidP="00346E83">
                            <w:pPr>
                              <w:pStyle w:val="UVAC-Contents-Chapternumber"/>
                              <w:numPr>
                                <w:ilvl w:val="0"/>
                                <w:numId w:val="2"/>
                              </w:numPr>
                            </w:pPr>
                            <w:r>
                              <w:t>UVAC Opinion: Will Higher Technical Qualifications (HTQs) be a Success?</w:t>
                            </w:r>
                            <w:r w:rsidR="0016508D">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A0C8B" id="Text Box 10" o:spid="_x0000_s1029" type="#_x0000_t202" style="position:absolute;margin-left:56.7pt;margin-top:85.05pt;width:447.25pt;height:56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" filled="f" stroked="f" strokeweight=".5pt">
                <v:path arrowok="t"/>
                <v:textbox inset="0,0,0,0">
                  <w:txbxContent>
                    <w:p w14:paraId="2794FD9A" w14:textId="77777777" w:rsidR="0016508D" w:rsidRPr="008424CC" w:rsidRDefault="0016508D" w:rsidP="008424CC">
                      <w:pPr>
                        <w:pStyle w:val="UVAC-Contentstitle"/>
                      </w:pPr>
                      <w:r w:rsidRPr="008424CC">
                        <w:t>Contents.</w:t>
                      </w:r>
                    </w:p>
                    <w:p w14:paraId="19D1BCA3" w14:textId="53B8E9DE" w:rsidR="0016508D" w:rsidRPr="008424CC" w:rsidRDefault="00346E83" w:rsidP="008C04CF">
                      <w:pPr>
                        <w:pStyle w:val="UVAC-Contents-Chapternumber"/>
                        <w:numPr>
                          <w:ilvl w:val="0"/>
                          <w:numId w:val="2"/>
                        </w:numPr>
                      </w:pPr>
                      <w:r>
                        <w:t>What is Higher Technical Education (HTE)?</w:t>
                      </w:r>
                      <w:r w:rsidR="0016508D" w:rsidRPr="008424CC">
                        <w:tab/>
                      </w:r>
                    </w:p>
                    <w:p w14:paraId="1E3E7BD4" w14:textId="77777777" w:rsidR="0016508D" w:rsidRDefault="0016508D" w:rsidP="000F6179">
                      <w:pPr>
                        <w:pStyle w:val="UVAC-Contents-Chaptertitle"/>
                      </w:pPr>
                    </w:p>
                    <w:p w14:paraId="5E2139D9" w14:textId="188E5C26" w:rsidR="0016508D" w:rsidRPr="00492EDA" w:rsidRDefault="00346E83" w:rsidP="008C04CF">
                      <w:pPr>
                        <w:pStyle w:val="UVAC-Contents-Chapternumber"/>
                        <w:numPr>
                          <w:ilvl w:val="0"/>
                          <w:numId w:val="2"/>
                        </w:numPr>
                      </w:pPr>
                      <w:r>
                        <w:t>What are Higher Technical Qualifications (HTQs)</w:t>
                      </w:r>
                      <w:r w:rsidR="0016508D" w:rsidRPr="00492EDA">
                        <w:tab/>
                      </w:r>
                    </w:p>
                    <w:p w14:paraId="3BB51EC3" w14:textId="77777777" w:rsidR="0016508D" w:rsidRDefault="0016508D" w:rsidP="000F6179">
                      <w:pPr>
                        <w:pStyle w:val="UVAC-Contents-Chaptertitle"/>
                      </w:pPr>
                    </w:p>
                    <w:p w14:paraId="2E69EC04" w14:textId="17E3CE0C" w:rsidR="0016508D" w:rsidRPr="009838EF" w:rsidRDefault="00346E83" w:rsidP="008C04CF">
                      <w:pPr>
                        <w:pStyle w:val="UVAC-Contents-Chapternumber"/>
                        <w:numPr>
                          <w:ilvl w:val="0"/>
                          <w:numId w:val="2"/>
                        </w:numPr>
                      </w:pPr>
                      <w:r>
                        <w:t>Will the Push to Expand THE/HTQs be at the Expense of Level 6 University Provision</w:t>
                      </w:r>
                      <w:r w:rsidR="0016508D">
                        <w:t>?</w:t>
                      </w:r>
                    </w:p>
                    <w:p w14:paraId="309032BD" w14:textId="77777777" w:rsidR="0016508D" w:rsidRPr="00DD23A8" w:rsidRDefault="0016508D" w:rsidP="000F6179">
                      <w:pPr>
                        <w:pStyle w:val="UVAC-Contents-Chaptertitle"/>
                      </w:pPr>
                    </w:p>
                    <w:p w14:paraId="26F75BF9" w14:textId="5D5EF5BE" w:rsidR="0016508D" w:rsidRPr="009838EF" w:rsidRDefault="00346E83" w:rsidP="008C04CF">
                      <w:pPr>
                        <w:pStyle w:val="UVAC-Contents-Chapternumber"/>
                        <w:numPr>
                          <w:ilvl w:val="0"/>
                          <w:numId w:val="2"/>
                        </w:numPr>
                      </w:pPr>
                      <w:r>
                        <w:t>Why is the HTE/HTQ Agenda of Importance to Universities</w:t>
                      </w:r>
                      <w:r w:rsidR="0016508D">
                        <w:t>?</w:t>
                      </w:r>
                      <w:r w:rsidR="0016508D">
                        <w:tab/>
                      </w:r>
                    </w:p>
                    <w:p w14:paraId="7A9014BA" w14:textId="77777777" w:rsidR="0016508D" w:rsidRPr="009838EF" w:rsidRDefault="0016508D" w:rsidP="00B61992">
                      <w:pPr>
                        <w:pStyle w:val="UVAC-Contents-Chaptertitle"/>
                        <w:pBdr>
                          <w:bottom w:val="single" w:sz="4" w:space="1" w:color="CFD1D2"/>
                        </w:pBdr>
                        <w:rPr>
                          <w:sz w:val="28"/>
                          <w:szCs w:val="28"/>
                        </w:rPr>
                      </w:pPr>
                    </w:p>
                    <w:p w14:paraId="04782965" w14:textId="4FF2171A" w:rsidR="0016508D" w:rsidRPr="009838EF" w:rsidRDefault="00346E83" w:rsidP="008C04CF">
                      <w:pPr>
                        <w:pStyle w:val="UVAC-Contents-Chapternumber"/>
                        <w:numPr>
                          <w:ilvl w:val="0"/>
                          <w:numId w:val="2"/>
                        </w:numPr>
                      </w:pPr>
                      <w:r>
                        <w:t>How do HTQs relate to new T Levels</w:t>
                      </w:r>
                      <w:r w:rsidR="0016508D">
                        <w:t>?</w:t>
                      </w:r>
                      <w:r w:rsidR="0016508D">
                        <w:tab/>
                      </w:r>
                    </w:p>
                    <w:p w14:paraId="10D8CB0E" w14:textId="77777777" w:rsidR="0016508D" w:rsidRPr="009838EF" w:rsidRDefault="0016508D" w:rsidP="000F6179">
                      <w:pPr>
                        <w:pStyle w:val="UVAC-Contents-Chaptertitle"/>
                        <w:rPr>
                          <w:sz w:val="28"/>
                          <w:szCs w:val="28"/>
                        </w:rPr>
                      </w:pPr>
                    </w:p>
                    <w:p w14:paraId="67F296E0" w14:textId="22BF2EBD" w:rsidR="0016508D" w:rsidRPr="009838EF" w:rsidRDefault="00346E83" w:rsidP="008C04CF">
                      <w:pPr>
                        <w:pStyle w:val="UVAC-Contents-Chapternumber"/>
                        <w:numPr>
                          <w:ilvl w:val="0"/>
                          <w:numId w:val="2"/>
                        </w:numPr>
                      </w:pPr>
                      <w:r>
                        <w:t>How are HTQs Funded?</w:t>
                      </w:r>
                      <w:r w:rsidR="0016508D">
                        <w:tab/>
                      </w:r>
                    </w:p>
                    <w:p w14:paraId="6092F174" w14:textId="77777777" w:rsidR="0016508D" w:rsidRPr="009838EF" w:rsidRDefault="0016508D" w:rsidP="000F6179">
                      <w:pPr>
                        <w:pStyle w:val="UVAC-Contents-Chaptertitle"/>
                        <w:rPr>
                          <w:sz w:val="28"/>
                          <w:szCs w:val="28"/>
                        </w:rPr>
                      </w:pPr>
                    </w:p>
                    <w:p w14:paraId="0045E66E" w14:textId="6F75B8A9" w:rsidR="0016508D" w:rsidRPr="009838EF" w:rsidRDefault="00346E83" w:rsidP="008C04CF">
                      <w:pPr>
                        <w:pStyle w:val="UVAC-Contents-Chapternumber"/>
                        <w:numPr>
                          <w:ilvl w:val="0"/>
                          <w:numId w:val="2"/>
                        </w:numPr>
                      </w:pPr>
                      <w:r>
                        <w:t>Who Quality Assures HTQs?</w:t>
                      </w:r>
                    </w:p>
                    <w:p w14:paraId="14A5C409" w14:textId="77777777" w:rsidR="0016508D" w:rsidRPr="000F6179" w:rsidRDefault="0016508D" w:rsidP="000F6179">
                      <w:pPr>
                        <w:pStyle w:val="UVAC-Contents-Chaptertitle"/>
                      </w:pPr>
                    </w:p>
                    <w:p w14:paraId="365E37FB" w14:textId="44D0D4B6" w:rsidR="0016508D" w:rsidRPr="009838EF" w:rsidRDefault="00346E83" w:rsidP="008C04CF">
                      <w:pPr>
                        <w:pStyle w:val="UVAC-Contents-Chapternumber"/>
                        <w:numPr>
                          <w:ilvl w:val="0"/>
                          <w:numId w:val="2"/>
                        </w:numPr>
                      </w:pPr>
                      <w:r>
                        <w:t>What is the Timetable for the Rollout of the Reforms to Technical Education and HTQs?</w:t>
                      </w:r>
                      <w:r w:rsidR="0016508D">
                        <w:tab/>
                      </w:r>
                    </w:p>
                    <w:p w14:paraId="57966E8E" w14:textId="77777777" w:rsidR="0016508D" w:rsidRPr="00137FFA" w:rsidRDefault="0016508D" w:rsidP="000F6179">
                      <w:pPr>
                        <w:pStyle w:val="UVAC-Contents-Chaptertitle"/>
                      </w:pPr>
                    </w:p>
                    <w:p w14:paraId="411C2FDA" w14:textId="18A98708" w:rsidR="0016508D" w:rsidRPr="009838EF" w:rsidRDefault="00346E83" w:rsidP="008C04CF">
                      <w:pPr>
                        <w:pStyle w:val="UVAC-Contents-Chapternumber"/>
                        <w:numPr>
                          <w:ilvl w:val="0"/>
                          <w:numId w:val="2"/>
                        </w:numPr>
                      </w:pPr>
                      <w:r>
                        <w:t>How can Universities Engage in the THE/HTQ Agenda?</w:t>
                      </w:r>
                      <w:r w:rsidR="0016508D">
                        <w:tab/>
                      </w:r>
                    </w:p>
                    <w:p w14:paraId="7164981B" w14:textId="77777777" w:rsidR="0016508D" w:rsidRPr="00137FFA" w:rsidRDefault="0016508D" w:rsidP="00804531">
                      <w:pPr>
                        <w:pStyle w:val="UVAC-Contents-Chaptertitle"/>
                      </w:pPr>
                    </w:p>
                    <w:p w14:paraId="7F274E4D" w14:textId="1DDBFE7E" w:rsidR="0016508D" w:rsidRDefault="00346E83" w:rsidP="00346E83">
                      <w:pPr>
                        <w:pStyle w:val="UVAC-Contents-Chapternumber"/>
                        <w:numPr>
                          <w:ilvl w:val="0"/>
                          <w:numId w:val="2"/>
                        </w:numPr>
                      </w:pPr>
                      <w:r>
                        <w:t>UVAC Opinion: Will Higher Technical Qualifications (HTQs) be a Success?</w:t>
                      </w:r>
                      <w:r w:rsidR="0016508D">
                        <w:tab/>
                      </w:r>
                    </w:p>
                  </w:txbxContent>
                </v:textbox>
                <w10:wrap anchorx="page" anchory="page"/>
                <w10:anchorlock/>
              </v:shape>
            </w:pict>
          </mc:Fallback>
        </mc:AlternateContent>
      </w:r>
      <w:r w:rsidR="002F009F">
        <w:br w:type="page"/>
      </w:r>
    </w:p>
    <w:p w14:paraId="2A502632" w14:textId="566B01FD" w:rsidR="00B0517E" w:rsidRPr="006570C8" w:rsidRDefault="00B61992" w:rsidP="00B0517E">
      <w:pPr>
        <w:pStyle w:val="UVAC-Largetitle"/>
        <w:rPr>
          <w:b/>
        </w:rPr>
      </w:pPr>
      <w:r>
        <w:rPr>
          <w:b/>
        </w:rPr>
        <w:lastRenderedPageBreak/>
        <w:t>UVAC IN FOCUS</w:t>
      </w:r>
    </w:p>
    <w:p w14:paraId="5FD61D4F" w14:textId="125FCEEA" w:rsidR="00B0517E" w:rsidRPr="006570C8" w:rsidRDefault="008C1495" w:rsidP="008C04CF">
      <w:pPr>
        <w:pStyle w:val="UVAC-Bodycopy"/>
        <w:numPr>
          <w:ilvl w:val="0"/>
          <w:numId w:val="3"/>
        </w:numPr>
        <w:rPr>
          <w:rFonts w:ascii="Catamaran" w:hAnsi="Catamaran" w:cs="Catamaran"/>
          <w:b/>
          <w:sz w:val="28"/>
          <w:szCs w:val="28"/>
        </w:rPr>
      </w:pPr>
      <w:r>
        <w:rPr>
          <w:rFonts w:ascii="Catamaran" w:hAnsi="Catamaran" w:cs="Catamaran"/>
          <w:b/>
          <w:sz w:val="28"/>
          <w:szCs w:val="28"/>
        </w:rPr>
        <w:t>What is Higher Technical Education (HTE)?</w:t>
      </w:r>
    </w:p>
    <w:p w14:paraId="0DE1638B" w14:textId="42F5EC5C" w:rsidR="008C1495" w:rsidRPr="008C1495" w:rsidRDefault="008C1495" w:rsidP="00440583">
      <w:pPr>
        <w:ind w:left="1276"/>
        <w:rPr>
          <w:rFonts w:cs="Open Sans"/>
          <w:color w:val="101820"/>
          <w:szCs w:val="20"/>
        </w:rPr>
      </w:pPr>
      <w:r w:rsidRPr="008C1495">
        <w:rPr>
          <w:rFonts w:cs="Open Sans"/>
          <w:color w:val="101820"/>
          <w:szCs w:val="20"/>
        </w:rPr>
        <w:t>Higher Technical Education is level 4 (</w:t>
      </w:r>
      <w:r w:rsidRPr="008C1495">
        <w:rPr>
          <w:rFonts w:cs="Open Sans"/>
          <w:color w:val="101820"/>
          <w:szCs w:val="20"/>
        </w:rPr>
        <w:t>e.g.,</w:t>
      </w:r>
      <w:r w:rsidRPr="008C1495">
        <w:rPr>
          <w:rFonts w:cs="Open Sans"/>
          <w:color w:val="101820"/>
          <w:szCs w:val="20"/>
        </w:rPr>
        <w:t xml:space="preserve"> Certificate of Higher Education level, Higher National Certificate {HNC} level) and level 5 (Foundation degree, Higher National Diploma {HND} level) technical education provision delivered by HEIs, FECs and independent training providers. Higher Technical Education is focused on developing the higher technical skills needed by employers and individuals.  Provision includes level 4 and level 5 Framework for Higher Education Qualifications (FHEQ) and Ofqual regulated qualifications (Regulated Qualifications Framework qualifications) and professional and </w:t>
      </w:r>
      <w:r w:rsidRPr="008C1495">
        <w:rPr>
          <w:rFonts w:cs="Open Sans"/>
          <w:color w:val="101820"/>
          <w:szCs w:val="20"/>
        </w:rPr>
        <w:t>sector-based</w:t>
      </w:r>
      <w:r w:rsidRPr="008C1495">
        <w:rPr>
          <w:rFonts w:cs="Open Sans"/>
          <w:color w:val="101820"/>
          <w:szCs w:val="20"/>
        </w:rPr>
        <w:t xml:space="preserve"> qualifications.</w:t>
      </w:r>
    </w:p>
    <w:p w14:paraId="1AB481F9" w14:textId="77777777" w:rsidR="008C1495" w:rsidRPr="008C1495" w:rsidRDefault="008C1495" w:rsidP="008C1495">
      <w:pPr>
        <w:rPr>
          <w:rFonts w:cs="Open Sans"/>
          <w:color w:val="101820"/>
          <w:szCs w:val="20"/>
        </w:rPr>
      </w:pPr>
    </w:p>
    <w:p w14:paraId="19EAE2F5" w14:textId="77777777" w:rsidR="008C1495" w:rsidRPr="008C1495" w:rsidRDefault="008C1495" w:rsidP="00440583">
      <w:pPr>
        <w:pStyle w:val="NormalWeb"/>
        <w:spacing w:before="2" w:after="2"/>
        <w:ind w:left="1276"/>
        <w:rPr>
          <w:rFonts w:ascii="Open Sans" w:hAnsi="Open Sans" w:cs="Open Sans"/>
          <w:color w:val="101820"/>
        </w:rPr>
      </w:pPr>
      <w:r w:rsidRPr="008C1495">
        <w:rPr>
          <w:rFonts w:ascii="Open Sans" w:hAnsi="Open Sans" w:cs="Open Sans"/>
          <w:color w:val="101820"/>
        </w:rPr>
        <w:t xml:space="preserve">In 2016-2017, according to DfE figures, 53% of level 4 and level 5 students were taught in an FE college, 32% were taught by universities, with the remainder taught in alternative providers, e.g., private training providers, specialist colleges, sixth form colleges, and in adult community learning. </w:t>
      </w:r>
    </w:p>
    <w:p w14:paraId="63119F01" w14:textId="77777777" w:rsidR="008C1495" w:rsidRPr="008C1495" w:rsidRDefault="008C1495" w:rsidP="00440583">
      <w:pPr>
        <w:ind w:left="1276"/>
        <w:rPr>
          <w:rFonts w:cs="Open Sans"/>
          <w:color w:val="101820"/>
          <w:szCs w:val="20"/>
        </w:rPr>
      </w:pPr>
    </w:p>
    <w:p w14:paraId="360DC693" w14:textId="77777777" w:rsidR="008C1495" w:rsidRPr="008C1495" w:rsidRDefault="008C1495" w:rsidP="00440583">
      <w:pPr>
        <w:ind w:left="1276"/>
        <w:rPr>
          <w:rFonts w:cs="Open Sans"/>
          <w:color w:val="101820"/>
          <w:szCs w:val="20"/>
        </w:rPr>
      </w:pPr>
      <w:r w:rsidRPr="008C1495">
        <w:rPr>
          <w:rFonts w:cs="Open Sans"/>
          <w:color w:val="101820"/>
          <w:szCs w:val="20"/>
        </w:rPr>
        <w:t xml:space="preserve">Far fewer individuals take Higher Technical Education programmes in England than in most OECD countries.  In England, only 10% of adults aged 18 – 65 hold a level 4 or 5 qualification as their highest level of qualification achievement, whereas France, Japan, USA, Germany and Canada all have a high proportion of adults holding such qualifications. The comparative figure for Germany is 20% and for Canada 34%. </w:t>
      </w:r>
    </w:p>
    <w:p w14:paraId="4987CDBE" w14:textId="77777777" w:rsidR="008C1495" w:rsidRPr="008C1495" w:rsidRDefault="008C1495" w:rsidP="00440583">
      <w:pPr>
        <w:ind w:left="1276"/>
        <w:rPr>
          <w:rFonts w:cs="Open Sans"/>
          <w:color w:val="101820"/>
          <w:szCs w:val="20"/>
        </w:rPr>
      </w:pPr>
    </w:p>
    <w:p w14:paraId="79ECD1C7" w14:textId="77777777" w:rsidR="008C1495" w:rsidRPr="008C1495" w:rsidRDefault="008C1495" w:rsidP="00440583">
      <w:pPr>
        <w:ind w:left="1276"/>
        <w:rPr>
          <w:rFonts w:cs="Open Sans"/>
          <w:color w:val="101820"/>
          <w:szCs w:val="20"/>
        </w:rPr>
      </w:pPr>
      <w:r w:rsidRPr="008C1495">
        <w:rPr>
          <w:rFonts w:cs="Open Sans"/>
          <w:color w:val="101820"/>
          <w:szCs w:val="20"/>
        </w:rPr>
        <w:t>Government aims to expand and improve higher technical level, sub-degree courses to train or retrain individuals for high-skilled jobs. It has been a longstanding area of concern giving the perception that the UK has a persistent skills gap in technical education. The Government’s current reforms focus on:</w:t>
      </w:r>
    </w:p>
    <w:p w14:paraId="0D38C4BE" w14:textId="77777777" w:rsidR="008C1495" w:rsidRPr="008C1495" w:rsidRDefault="008C1495" w:rsidP="008C1495">
      <w:pPr>
        <w:rPr>
          <w:rFonts w:cs="Open Sans"/>
          <w:color w:val="101820"/>
          <w:szCs w:val="20"/>
        </w:rPr>
      </w:pPr>
    </w:p>
    <w:p w14:paraId="55E073D4" w14:textId="77777777" w:rsidR="008C1495" w:rsidRPr="008C1495" w:rsidRDefault="008C1495" w:rsidP="008C1495">
      <w:pPr>
        <w:pStyle w:val="ListParagraph"/>
        <w:numPr>
          <w:ilvl w:val="0"/>
          <w:numId w:val="5"/>
        </w:numPr>
        <w:tabs>
          <w:tab w:val="left" w:pos="284"/>
        </w:tabs>
        <w:rPr>
          <w:rFonts w:ascii="Open Sans" w:hAnsi="Open Sans" w:cs="Open Sans"/>
          <w:color w:val="101820"/>
          <w:sz w:val="20"/>
          <w:szCs w:val="20"/>
        </w:rPr>
      </w:pPr>
      <w:r w:rsidRPr="008C1495">
        <w:rPr>
          <w:rFonts w:ascii="Open Sans" w:hAnsi="Open Sans" w:cs="Open Sans"/>
          <w:color w:val="101820"/>
          <w:sz w:val="20"/>
          <w:szCs w:val="20"/>
        </w:rPr>
        <w:t>improving the quality of higher technical education on offer</w:t>
      </w:r>
    </w:p>
    <w:p w14:paraId="1EC87ECF" w14:textId="77777777" w:rsidR="008C1495" w:rsidRPr="008C1495" w:rsidRDefault="008C1495" w:rsidP="008C1495">
      <w:pPr>
        <w:pStyle w:val="ListParagraph"/>
        <w:numPr>
          <w:ilvl w:val="0"/>
          <w:numId w:val="5"/>
        </w:numPr>
        <w:tabs>
          <w:tab w:val="left" w:pos="284"/>
        </w:tabs>
        <w:rPr>
          <w:rFonts w:ascii="Open Sans" w:hAnsi="Open Sans" w:cs="Open Sans"/>
          <w:color w:val="101820"/>
          <w:sz w:val="20"/>
          <w:szCs w:val="20"/>
        </w:rPr>
      </w:pPr>
      <w:r w:rsidRPr="008C1495">
        <w:rPr>
          <w:rFonts w:ascii="Open Sans" w:hAnsi="Open Sans" w:cs="Open Sans"/>
          <w:color w:val="101820"/>
          <w:sz w:val="20"/>
          <w:szCs w:val="20"/>
        </w:rPr>
        <w:t>encouraging more people to take higher technical education courses and get high-skilled work</w:t>
      </w:r>
    </w:p>
    <w:p w14:paraId="0CB5892B" w14:textId="77777777" w:rsidR="008C1495" w:rsidRPr="008C1495" w:rsidRDefault="008C1495" w:rsidP="008C1495">
      <w:pPr>
        <w:pStyle w:val="ListParagraph"/>
        <w:numPr>
          <w:ilvl w:val="0"/>
          <w:numId w:val="5"/>
        </w:numPr>
        <w:tabs>
          <w:tab w:val="left" w:pos="284"/>
        </w:tabs>
        <w:rPr>
          <w:rFonts w:ascii="Open Sans" w:hAnsi="Open Sans" w:cs="Open Sans"/>
          <w:color w:val="101820"/>
          <w:sz w:val="20"/>
          <w:szCs w:val="20"/>
        </w:rPr>
      </w:pPr>
      <w:r w:rsidRPr="008C1495">
        <w:rPr>
          <w:rFonts w:ascii="Open Sans" w:hAnsi="Open Sans" w:cs="Open Sans"/>
          <w:color w:val="101820"/>
          <w:sz w:val="20"/>
          <w:szCs w:val="20"/>
        </w:rPr>
        <w:t>introducing a national approval scheme, to show which higher technical qualifications meet employers’ skills needs.</w:t>
      </w:r>
    </w:p>
    <w:p w14:paraId="2B5BF26A" w14:textId="77777777" w:rsidR="008C1495" w:rsidRPr="008C1495" w:rsidRDefault="008C1495" w:rsidP="008C1495">
      <w:pPr>
        <w:rPr>
          <w:rFonts w:cs="Open Sans"/>
          <w:color w:val="101820"/>
          <w:szCs w:val="20"/>
        </w:rPr>
      </w:pPr>
    </w:p>
    <w:p w14:paraId="016FA467" w14:textId="77777777" w:rsidR="008C1495" w:rsidRPr="008C1495" w:rsidRDefault="008C1495" w:rsidP="00223E97">
      <w:pPr>
        <w:ind w:left="1276"/>
        <w:rPr>
          <w:rFonts w:cs="Open Sans"/>
          <w:color w:val="101820"/>
          <w:szCs w:val="20"/>
        </w:rPr>
      </w:pPr>
      <w:r w:rsidRPr="008C1495">
        <w:rPr>
          <w:rFonts w:cs="Open Sans"/>
          <w:color w:val="101820"/>
          <w:szCs w:val="20"/>
        </w:rPr>
        <w:t xml:space="preserve">On 29 September 2020 the Prime Minister announced a “major expansion of post-18 education and training to level up and prepare workers for a post-COVID economy”. The proposals aim to transform the training and skills system to “make it fit for the 21st century economy” and to help the country “build back better from coronavirus”. The announcement outlined various policies to encourage lifelong learning and to help adults to retrain including more flexible higher education loans, allowing adults and young people to space out their study across their lifetimes. </w:t>
      </w:r>
    </w:p>
    <w:p w14:paraId="3302B95E" w14:textId="77777777" w:rsidR="008C1495" w:rsidRPr="008C1495" w:rsidRDefault="008C1495" w:rsidP="00440583">
      <w:pPr>
        <w:ind w:left="644"/>
        <w:rPr>
          <w:rFonts w:cs="Open Sans"/>
          <w:color w:val="101820"/>
          <w:szCs w:val="20"/>
        </w:rPr>
      </w:pPr>
    </w:p>
    <w:p w14:paraId="0A8E1C9A" w14:textId="63AC4D01" w:rsidR="008C1495" w:rsidRPr="008C1495" w:rsidRDefault="008C1495" w:rsidP="00223E97">
      <w:pPr>
        <w:ind w:left="1276"/>
        <w:rPr>
          <w:rFonts w:cs="Open Sans"/>
          <w:color w:val="101820"/>
          <w:szCs w:val="20"/>
        </w:rPr>
      </w:pPr>
      <w:r w:rsidRPr="008C1495">
        <w:rPr>
          <w:rFonts w:cs="Open Sans"/>
          <w:color w:val="101820"/>
          <w:szCs w:val="20"/>
        </w:rPr>
        <w:t xml:space="preserve">Government has also introduced a </w:t>
      </w:r>
      <w:hyperlink r:id="rId13" w:history="1">
        <w:r w:rsidRPr="00223E97">
          <w:rPr>
            <w:color w:val="101820"/>
          </w:rPr>
          <w:t>Higher Technical Education provider growth fund</w:t>
        </w:r>
      </w:hyperlink>
      <w:r w:rsidRPr="008C1495">
        <w:rPr>
          <w:rFonts w:cs="Open Sans"/>
          <w:color w:val="101820"/>
          <w:szCs w:val="20"/>
        </w:rPr>
        <w:t xml:space="preserve"> and is reforming the loans system through the Lifelong Loan Entitlement (LLE) to better support a broader range of FE and HE programmes including Higher Technical Education. The LLE will be introduced from 2025, providing individuals with a loan entitlement to the equivalent of four years of post-18 education to use over their lifetime. It will be available for both modules and full years of study at higher technical and bachelor’s degree level (Levels 4-6), regardless of whether they are delivered in colleges or universities.</w:t>
      </w:r>
    </w:p>
    <w:p w14:paraId="72A13F68" w14:textId="6FEDD70C" w:rsidR="00882571" w:rsidRPr="00A61F34" w:rsidRDefault="008C1495" w:rsidP="008C04CF">
      <w:pPr>
        <w:pStyle w:val="UVAC-Bodycopy"/>
        <w:numPr>
          <w:ilvl w:val="0"/>
          <w:numId w:val="3"/>
        </w:numPr>
        <w:rPr>
          <w:rFonts w:ascii="Catamaran" w:hAnsi="Catamaran" w:cs="Catamaran"/>
          <w:b/>
          <w:sz w:val="28"/>
          <w:szCs w:val="28"/>
        </w:rPr>
      </w:pPr>
      <w:r>
        <w:rPr>
          <w:rFonts w:ascii="Catamaran" w:hAnsi="Catamaran" w:cs="Catamaran"/>
          <w:b/>
          <w:sz w:val="28"/>
          <w:szCs w:val="28"/>
        </w:rPr>
        <w:lastRenderedPageBreak/>
        <w:t>What are Higher Technical Qualifications (HTQs)?</w:t>
      </w:r>
    </w:p>
    <w:p w14:paraId="13138B57" w14:textId="77777777" w:rsidR="008C1495" w:rsidRPr="008C1495" w:rsidRDefault="008C1495" w:rsidP="00440583">
      <w:pPr>
        <w:pStyle w:val="ListParagraph"/>
        <w:ind w:left="1276"/>
        <w:rPr>
          <w:rFonts w:ascii="Open Sans" w:hAnsi="Open Sans" w:cs="Open Sans"/>
          <w:color w:val="101820"/>
          <w:sz w:val="20"/>
          <w:szCs w:val="20"/>
        </w:rPr>
      </w:pPr>
      <w:r w:rsidRPr="008C1495">
        <w:rPr>
          <w:rFonts w:ascii="Open Sans" w:hAnsi="Open Sans" w:cs="Open Sans"/>
          <w:color w:val="101820"/>
          <w:sz w:val="20"/>
          <w:szCs w:val="20"/>
        </w:rPr>
        <w:t xml:space="preserve">Higher Technical Qualifications are level 4 or level 5 qualifications that have been awarded a quality mark by the Institute for Apprenticeship and Technical Education (The Institute or </w:t>
      </w:r>
      <w:proofErr w:type="spellStart"/>
      <w:r w:rsidRPr="008C1495">
        <w:rPr>
          <w:rFonts w:ascii="Open Sans" w:hAnsi="Open Sans" w:cs="Open Sans"/>
          <w:color w:val="101820"/>
          <w:sz w:val="20"/>
          <w:szCs w:val="20"/>
        </w:rPr>
        <w:t>IfATE</w:t>
      </w:r>
      <w:proofErr w:type="spellEnd"/>
      <w:r w:rsidRPr="008C1495">
        <w:rPr>
          <w:rFonts w:ascii="Open Sans" w:hAnsi="Open Sans" w:cs="Open Sans"/>
          <w:color w:val="101820"/>
          <w:sz w:val="20"/>
          <w:szCs w:val="20"/>
        </w:rPr>
        <w:t>).  The Institute is an employer-led organisation sponsored by the Department for Education (DfE) with an independent chair overseeing its work. A key element of its work is supporting employer groups in the development of Apprenticeship Standards and End Point Assessment Plans. It maintains the occupational maps which underpin all technical education and develops, approves, reviews and revises apprenticeships and technical qualifications with employers. This includes responsibility for T Levels and for implementing the approval process for HTQs.</w:t>
      </w:r>
    </w:p>
    <w:p w14:paraId="6FD551E2" w14:textId="77777777" w:rsidR="008C1495" w:rsidRPr="008C1495" w:rsidRDefault="008C1495" w:rsidP="008C1495">
      <w:pPr>
        <w:rPr>
          <w:rFonts w:cs="Open Sans"/>
          <w:color w:val="101820"/>
          <w:szCs w:val="20"/>
        </w:rPr>
      </w:pPr>
    </w:p>
    <w:p w14:paraId="44C9F6F2" w14:textId="416EEED2" w:rsidR="008C1495" w:rsidRDefault="008C1495" w:rsidP="008C1495">
      <w:pPr>
        <w:pStyle w:val="ListParagraph"/>
        <w:ind w:left="1276"/>
        <w:rPr>
          <w:rFonts w:ascii="Open Sans" w:hAnsi="Open Sans" w:cs="Open Sans"/>
          <w:color w:val="101820"/>
          <w:sz w:val="20"/>
          <w:szCs w:val="20"/>
        </w:rPr>
      </w:pPr>
      <w:r w:rsidRPr="008C1495">
        <w:rPr>
          <w:rFonts w:ascii="Open Sans" w:hAnsi="Open Sans" w:cs="Open Sans"/>
          <w:color w:val="101820"/>
          <w:sz w:val="20"/>
          <w:szCs w:val="20"/>
        </w:rPr>
        <w:t xml:space="preserve">A Higher Technical Qualification is not a specific qualification, but a quality mark for new and existing qualifications that could be </w:t>
      </w:r>
      <w:proofErr w:type="spellStart"/>
      <w:r w:rsidRPr="008C1495">
        <w:rPr>
          <w:rFonts w:ascii="Open Sans" w:hAnsi="Open Sans" w:cs="Open Sans"/>
          <w:color w:val="101820"/>
          <w:sz w:val="20"/>
          <w:szCs w:val="20"/>
        </w:rPr>
        <w:t>OfS</w:t>
      </w:r>
      <w:proofErr w:type="spellEnd"/>
      <w:r w:rsidRPr="008C1495">
        <w:rPr>
          <w:rFonts w:ascii="Open Sans" w:hAnsi="Open Sans" w:cs="Open Sans"/>
          <w:color w:val="101820"/>
          <w:sz w:val="20"/>
          <w:szCs w:val="20"/>
        </w:rPr>
        <w:t xml:space="preserve"> or Ofqual regulated.  New or existing level 4 or level 5 qualifications (positioned on the FHEQ or RQF) submitted though the Institute’s approvals process on a rolling basis (</w:t>
      </w:r>
      <w:hyperlink r:id="rId14" w:history="1">
        <w:r w:rsidRPr="008C1495">
          <w:rPr>
            <w:rStyle w:val="Hyperlink"/>
            <w:rFonts w:cs="Open Sans"/>
            <w:szCs w:val="20"/>
          </w:rPr>
          <w:t>see UVAC summary of the timetable</w:t>
        </w:r>
      </w:hyperlink>
      <w:r w:rsidRPr="008C1495">
        <w:rPr>
          <w:rFonts w:ascii="Open Sans" w:hAnsi="Open Sans" w:cs="Open Sans"/>
          <w:color w:val="101820"/>
          <w:sz w:val="20"/>
          <w:szCs w:val="20"/>
        </w:rPr>
        <w:t xml:space="preserve">) will receive a quality-mark if the qualification satisfies the </w:t>
      </w:r>
      <w:proofErr w:type="spellStart"/>
      <w:r w:rsidRPr="008C1495">
        <w:rPr>
          <w:rFonts w:ascii="Open Sans" w:hAnsi="Open Sans" w:cs="Open Sans"/>
          <w:color w:val="101820"/>
          <w:sz w:val="20"/>
          <w:szCs w:val="20"/>
        </w:rPr>
        <w:t>IfATE</w:t>
      </w:r>
      <w:proofErr w:type="spellEnd"/>
      <w:r w:rsidRPr="008C1495">
        <w:rPr>
          <w:rFonts w:ascii="Open Sans" w:hAnsi="Open Sans" w:cs="Open Sans"/>
          <w:color w:val="101820"/>
          <w:sz w:val="20"/>
          <w:szCs w:val="20"/>
        </w:rPr>
        <w:t> </w:t>
      </w:r>
      <w:hyperlink r:id="rId15" w:history="1">
        <w:r w:rsidRPr="008C1495">
          <w:rPr>
            <w:rFonts w:ascii="Open Sans" w:hAnsi="Open Sans" w:cs="Open Sans"/>
            <w:color w:val="101820"/>
            <w:sz w:val="20"/>
            <w:szCs w:val="20"/>
          </w:rPr>
          <w:t>approvals criteria</w:t>
        </w:r>
      </w:hyperlink>
      <w:r w:rsidRPr="008C1495">
        <w:rPr>
          <w:rFonts w:ascii="Open Sans" w:hAnsi="Open Sans" w:cs="Open Sans"/>
          <w:color w:val="101820"/>
          <w:sz w:val="20"/>
          <w:szCs w:val="20"/>
        </w:rPr>
        <w:t xml:space="preserve">.  The process is based on mapping qualifications to relevant employer developed and </w:t>
      </w:r>
      <w:proofErr w:type="spellStart"/>
      <w:r w:rsidRPr="008C1495">
        <w:rPr>
          <w:rFonts w:ascii="Open Sans" w:hAnsi="Open Sans" w:cs="Open Sans"/>
          <w:color w:val="101820"/>
          <w:sz w:val="20"/>
          <w:szCs w:val="20"/>
        </w:rPr>
        <w:t>IfATE</w:t>
      </w:r>
      <w:proofErr w:type="spellEnd"/>
      <w:r w:rsidRPr="008C1495">
        <w:rPr>
          <w:rFonts w:ascii="Open Sans" w:hAnsi="Open Sans" w:cs="Open Sans"/>
          <w:color w:val="101820"/>
          <w:sz w:val="20"/>
          <w:szCs w:val="20"/>
        </w:rPr>
        <w:t xml:space="preserve"> approved occupational / apprenticeship standards. Higher Technical Qualifications are approved on the basis that they provide learners with entry-level competence enabling a learner to enter their chosen occupation.  HTQ approved qualifications for the same occupation could have different credit values and the </w:t>
      </w:r>
      <w:proofErr w:type="spellStart"/>
      <w:r w:rsidRPr="008C1495">
        <w:rPr>
          <w:rFonts w:ascii="Open Sans" w:hAnsi="Open Sans" w:cs="Open Sans"/>
          <w:color w:val="101820"/>
          <w:sz w:val="20"/>
          <w:szCs w:val="20"/>
        </w:rPr>
        <w:t>IfATE</w:t>
      </w:r>
      <w:proofErr w:type="spellEnd"/>
      <w:r w:rsidRPr="008C1495">
        <w:rPr>
          <w:rFonts w:ascii="Open Sans" w:hAnsi="Open Sans" w:cs="Open Sans"/>
          <w:color w:val="101820"/>
          <w:sz w:val="20"/>
          <w:szCs w:val="20"/>
        </w:rPr>
        <w:t xml:space="preserve"> quality mark also allows a level 5 qualification to be quality marked against a level 4 occupation / apprenticeship standard.  So, technically, different </w:t>
      </w:r>
      <w:proofErr w:type="spellStart"/>
      <w:r w:rsidRPr="008C1495">
        <w:rPr>
          <w:rFonts w:ascii="Open Sans" w:hAnsi="Open Sans" w:cs="Open Sans"/>
          <w:color w:val="101820"/>
          <w:sz w:val="20"/>
          <w:szCs w:val="20"/>
        </w:rPr>
        <w:t>IfATE</w:t>
      </w:r>
      <w:proofErr w:type="spellEnd"/>
      <w:r w:rsidRPr="008C1495">
        <w:rPr>
          <w:rFonts w:ascii="Open Sans" w:hAnsi="Open Sans" w:cs="Open Sans"/>
          <w:color w:val="101820"/>
          <w:sz w:val="20"/>
          <w:szCs w:val="20"/>
        </w:rPr>
        <w:t xml:space="preserve"> Quality Marked qualifications for the same Occupational Standard could be at different educational levels of difficulty and skill.</w:t>
      </w:r>
    </w:p>
    <w:p w14:paraId="57CCD098" w14:textId="77777777" w:rsidR="008C1495" w:rsidRPr="008C1495" w:rsidRDefault="008C1495" w:rsidP="008C1495">
      <w:pPr>
        <w:pStyle w:val="ListParagraph"/>
        <w:ind w:left="1636"/>
        <w:rPr>
          <w:rFonts w:ascii="Open Sans" w:hAnsi="Open Sans" w:cs="Open Sans"/>
          <w:color w:val="101820"/>
          <w:sz w:val="20"/>
          <w:szCs w:val="20"/>
        </w:rPr>
      </w:pPr>
    </w:p>
    <w:p w14:paraId="3C71D418" w14:textId="6F71B626" w:rsidR="00A61F34" w:rsidRPr="00A61F34" w:rsidRDefault="008C1495" w:rsidP="0008669C">
      <w:pPr>
        <w:pStyle w:val="UVAC-Bodycopy"/>
        <w:numPr>
          <w:ilvl w:val="0"/>
          <w:numId w:val="3"/>
        </w:numPr>
        <w:rPr>
          <w:rFonts w:ascii="Catamaran" w:hAnsi="Catamaran" w:cs="Catamaran"/>
          <w:b/>
          <w:sz w:val="28"/>
          <w:szCs w:val="28"/>
        </w:rPr>
      </w:pPr>
      <w:r>
        <w:rPr>
          <w:rFonts w:ascii="Catamaran" w:hAnsi="Catamaran" w:cs="Catamaran"/>
          <w:b/>
          <w:sz w:val="28"/>
          <w:szCs w:val="28"/>
        </w:rPr>
        <w:t xml:space="preserve">Will </w:t>
      </w:r>
      <w:r w:rsidRPr="008C1495">
        <w:rPr>
          <w:rFonts w:ascii="Catamaran" w:hAnsi="Catamaran" w:cs="Catamaran"/>
          <w:b/>
          <w:sz w:val="28"/>
          <w:szCs w:val="28"/>
        </w:rPr>
        <w:t>the Push to Expand HTE/HTQs be at the Expense of Level 6 University Provision</w:t>
      </w:r>
      <w:r w:rsidR="00A61F34" w:rsidRPr="00A61F34">
        <w:rPr>
          <w:rFonts w:ascii="Catamaran" w:hAnsi="Catamaran" w:cs="Catamaran"/>
          <w:b/>
          <w:sz w:val="28"/>
          <w:szCs w:val="28"/>
        </w:rPr>
        <w:t>?</w:t>
      </w:r>
    </w:p>
    <w:p w14:paraId="396F996E" w14:textId="77777777" w:rsidR="008C1495" w:rsidRPr="008C1495" w:rsidRDefault="008C1495" w:rsidP="008C1495">
      <w:pPr>
        <w:ind w:left="1276"/>
        <w:rPr>
          <w:rFonts w:cs="Open Sans"/>
          <w:color w:val="101820"/>
          <w:szCs w:val="20"/>
        </w:rPr>
      </w:pPr>
      <w:r w:rsidRPr="008C1495">
        <w:rPr>
          <w:rFonts w:cs="Open Sans"/>
          <w:color w:val="101820"/>
          <w:szCs w:val="20"/>
        </w:rPr>
        <w:t>There is a risk that Government will seek to expand HTE at the expense of level 6 undergraduate university provision.  Student number caps and minimum entry grades could be used to limit undergraduate provision.  Meanwhile HTQ provision could be financially incentivised and Quality Marked HTQs extensively promoted by Government and by HEIs and Awarding Organisations with Government support.  HTQs could prove particularly attractive to adults already in the workforce seeking to develop new skills who do not want to undertake a lengthy programme of training.</w:t>
      </w:r>
    </w:p>
    <w:p w14:paraId="095DE3D6" w14:textId="77777777" w:rsidR="008C1495" w:rsidRPr="008C1495" w:rsidRDefault="008C1495" w:rsidP="008C1495">
      <w:pPr>
        <w:ind w:left="0"/>
        <w:rPr>
          <w:rFonts w:cs="Open Sans"/>
          <w:color w:val="101820"/>
          <w:szCs w:val="20"/>
        </w:rPr>
      </w:pPr>
    </w:p>
    <w:p w14:paraId="71FA382B" w14:textId="73E82E60" w:rsidR="008C1495" w:rsidRPr="008C1495" w:rsidRDefault="008C1495" w:rsidP="008C1495">
      <w:pPr>
        <w:ind w:left="1276"/>
        <w:rPr>
          <w:rFonts w:cs="Open Sans"/>
          <w:color w:val="101820"/>
          <w:szCs w:val="20"/>
        </w:rPr>
      </w:pPr>
      <w:r w:rsidRPr="008C1495">
        <w:rPr>
          <w:rFonts w:cs="Open Sans"/>
          <w:color w:val="101820"/>
          <w:szCs w:val="20"/>
        </w:rPr>
        <w:t xml:space="preserve">UVAC fully supports the development of HTQs.  We have, however, continually argued against expanding HTE provision at the expense of level 6, emphasising the crucial role level 6 undergraduate provision has in supporting social mobility, levelling-up and increasing UK productivity.  Maintaining and expanding student </w:t>
      </w:r>
      <w:r w:rsidRPr="008C1495">
        <w:rPr>
          <w:rFonts w:cs="Open Sans"/>
          <w:color w:val="101820"/>
          <w:szCs w:val="20"/>
        </w:rPr>
        <w:t>choice and</w:t>
      </w:r>
      <w:r w:rsidRPr="008C1495">
        <w:rPr>
          <w:rFonts w:cs="Open Sans"/>
          <w:color w:val="101820"/>
          <w:szCs w:val="20"/>
        </w:rPr>
        <w:t xml:space="preserve"> having HTQs that support progression to a bachelor’s degree, is a key feature of a high-quality higher education sector.</w:t>
      </w:r>
    </w:p>
    <w:p w14:paraId="0872E596" w14:textId="77777777" w:rsidR="004B22C1" w:rsidRDefault="004B22C1">
      <w:pPr>
        <w:ind w:left="0"/>
        <w:rPr>
          <w:rFonts w:cs="Open Sans"/>
          <w:color w:val="101820"/>
          <w:szCs w:val="20"/>
        </w:rPr>
      </w:pPr>
      <w:r w:rsidRPr="008C1495">
        <w:rPr>
          <w:rFonts w:cs="Open Sans"/>
          <w:color w:val="101820"/>
          <w:szCs w:val="20"/>
        </w:rPr>
        <w:br w:type="page"/>
      </w:r>
    </w:p>
    <w:p w14:paraId="44B3D34C" w14:textId="20E88E35" w:rsidR="002A3850" w:rsidRPr="002A3850" w:rsidRDefault="00440583" w:rsidP="008C04CF">
      <w:pPr>
        <w:pStyle w:val="UVAC-Bodycopy"/>
        <w:numPr>
          <w:ilvl w:val="0"/>
          <w:numId w:val="3"/>
        </w:numPr>
        <w:rPr>
          <w:rFonts w:ascii="Catamaran" w:hAnsi="Catamaran" w:cs="Catamaran"/>
          <w:b/>
          <w:sz w:val="28"/>
          <w:szCs w:val="28"/>
        </w:rPr>
      </w:pPr>
      <w:r>
        <w:rPr>
          <w:rFonts w:ascii="Catamaran" w:hAnsi="Catamaran" w:cs="Catamaran"/>
          <w:b/>
          <w:sz w:val="28"/>
          <w:szCs w:val="28"/>
        </w:rPr>
        <w:lastRenderedPageBreak/>
        <w:t>Why is</w:t>
      </w:r>
      <w:r w:rsidRPr="00440583">
        <w:rPr>
          <w:rFonts w:ascii="Catamaran" w:hAnsi="Catamaran" w:cs="Catamaran"/>
          <w:b/>
          <w:sz w:val="28"/>
          <w:szCs w:val="28"/>
        </w:rPr>
        <w:t xml:space="preserve"> the HTE/HTQ Agenda of Importance to Universities</w:t>
      </w:r>
      <w:r w:rsidR="002A3850" w:rsidRPr="002A3850">
        <w:rPr>
          <w:rFonts w:ascii="Catamaran" w:hAnsi="Catamaran" w:cs="Catamaran"/>
          <w:b/>
          <w:sz w:val="28"/>
          <w:szCs w:val="28"/>
        </w:rPr>
        <w:t>?</w:t>
      </w:r>
    </w:p>
    <w:p w14:paraId="3A015C61" w14:textId="56DD41C0" w:rsidR="00440583" w:rsidRDefault="00440583" w:rsidP="00440583">
      <w:pPr>
        <w:pStyle w:val="UVAC-Bodycopy"/>
        <w:ind w:left="1276"/>
      </w:pPr>
      <w:r>
        <w:t xml:space="preserve">Just like the </w:t>
      </w:r>
      <w:r>
        <w:t>apprenticeship</w:t>
      </w:r>
      <w:r>
        <w:t xml:space="preserve"> agenda, the HTE/HTQ agenda represents both a threat and opportunity for universities. </w:t>
      </w:r>
    </w:p>
    <w:p w14:paraId="2C4562E2" w14:textId="01304EBA" w:rsidR="00440583" w:rsidRDefault="00440583" w:rsidP="00440583">
      <w:pPr>
        <w:pStyle w:val="UVAC-Bodycopy"/>
        <w:ind w:left="1276"/>
      </w:pPr>
      <w:r>
        <w:t xml:space="preserve">Negatively, Higher Technical Education could be expanded at the expense of level 6 undergraduate higher education programmes.  Further Education providers with lower cost bases could deliver Higher Technical Education programmes for a lower cost than HEIs.  Smaller Ofqual regulated qualifications (i.e., qualifications with lower credit values than FHEQ qualifications) could gain the </w:t>
      </w:r>
      <w:proofErr w:type="spellStart"/>
      <w:r>
        <w:t>IfATE</w:t>
      </w:r>
      <w:proofErr w:type="spellEnd"/>
      <w:r>
        <w:t xml:space="preserve"> Quality Mark for the same Occupational Standard.  </w:t>
      </w:r>
    </w:p>
    <w:p w14:paraId="059730DD" w14:textId="2E0D3F1F" w:rsidR="00440583" w:rsidRDefault="00440583" w:rsidP="00440583">
      <w:pPr>
        <w:pStyle w:val="UVAC-Bodycopy"/>
        <w:ind w:left="1276"/>
      </w:pPr>
      <w:r>
        <w:t xml:space="preserve">Positively, in some occupational areas there could be a high demand from employers and individuals for Higher Technical Qualifications.  Health and Social Care cold be a good example.  UVAC has asked the Institute to undertake work with employers and PSRBs to establish the demand, from employers and individuals for specific HTQs.  Government and </w:t>
      </w:r>
      <w:proofErr w:type="spellStart"/>
      <w:r>
        <w:t>IfATE</w:t>
      </w:r>
      <w:proofErr w:type="spellEnd"/>
      <w:r>
        <w:t xml:space="preserve"> is committed to promoting Higher Technical Qualifications and has launched a quality mark logo that makes no distinction between FHEQ and RQF regulated qualifications:</w:t>
      </w:r>
    </w:p>
    <w:p w14:paraId="4D3B5A62" w14:textId="68529859" w:rsidR="00440583" w:rsidRDefault="00440583" w:rsidP="00440583">
      <w:pPr>
        <w:pStyle w:val="UVAC-Bodycopy"/>
        <w:ind w:left="1276"/>
        <w:jc w:val="center"/>
      </w:pPr>
      <w:r>
        <w:rPr>
          <w:noProof/>
        </w:rPr>
        <w:fldChar w:fldCharType="begin"/>
      </w:r>
      <w:r>
        <w:rPr>
          <w:noProof/>
        </w:rPr>
        <w:instrText xml:space="preserve"> INCLUDEPICTURE  "\\\\Users\\mandycrawford-lee\\Downloads\\:\\Library\\Containers\\com.apple.mail\\Data\\Library\\Mail Downloads\\CE937A9F-DA7E-4B58-8FCD-0C80C0EBAF72\\var\\folders\\5_\\r6zdtlsn08s04ycx_frz6y4c0000gn\\T\\com.microsoft.Word\\WebArchiveCopyPasteTempFiles\\1b547772d8e654ca087e02de303e3957_w750_h570_cp.jpg" \* MERGEFORMATINET </w:instrText>
      </w:r>
      <w:r>
        <w:rPr>
          <w:noProof/>
        </w:rPr>
        <w:fldChar w:fldCharType="separate"/>
      </w:r>
      <w:r>
        <w:rPr>
          <w:noProof/>
        </w:rPr>
        <w:fldChar w:fldCharType="begin"/>
      </w:r>
      <w:r>
        <w:rPr>
          <w:noProof/>
        </w:rPr>
        <w:instrText xml:space="preserve"> INCLUDEPICTURE  "" \* MERGEFORMATINET </w:instrText>
      </w:r>
      <w:r>
        <w:rPr>
          <w:noProof/>
        </w:rPr>
        <w:fldChar w:fldCharType="separate"/>
      </w:r>
      <w:r>
        <w:rPr>
          <w:noProof/>
        </w:rPr>
        <w:drawing>
          <wp:inline distT="0" distB="0" distL="0" distR="0" wp14:anchorId="43AB7B34" wp14:editId="45E9C3D1">
            <wp:extent cx="1357746" cy="1018511"/>
            <wp:effectExtent l="0" t="0" r="1270" b="0"/>
            <wp:docPr id="9" name="Picture 9" descr=" Higher Technical Qualifications quality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 Higher Technical Qualifications quality mark"/>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9601" cy="1027404"/>
                    </a:xfrm>
                    <a:prstGeom prst="rect">
                      <a:avLst/>
                    </a:prstGeom>
                    <a:noFill/>
                    <a:ln>
                      <a:noFill/>
                    </a:ln>
                  </pic:spPr>
                </pic:pic>
              </a:graphicData>
            </a:graphic>
          </wp:inline>
        </w:drawing>
      </w:r>
      <w:r>
        <w:rPr>
          <w:noProof/>
        </w:rPr>
        <w:fldChar w:fldCharType="end"/>
      </w:r>
      <w:r>
        <w:rPr>
          <w:noProof/>
        </w:rPr>
        <w:fldChar w:fldCharType="end"/>
      </w:r>
    </w:p>
    <w:p w14:paraId="18503AA8" w14:textId="47A8B3F9" w:rsidR="00440583" w:rsidRDefault="00440583" w:rsidP="00440583">
      <w:pPr>
        <w:pStyle w:val="UVAC-Bodycopy"/>
        <w:ind w:left="1276"/>
      </w:pPr>
      <w:r>
        <w:t>HEIs may also want to explore the development of progression routes from Higher Technical Qualifications to bachelors’ programmes.  HTQs could prove particularly attractive to adults in the workforce seeking to update existing skills or acquire new skills to meet employment needs.</w:t>
      </w:r>
    </w:p>
    <w:p w14:paraId="3240CDFC" w14:textId="340A0FCE" w:rsidR="00440583" w:rsidRDefault="00440583" w:rsidP="00440583">
      <w:pPr>
        <w:pStyle w:val="UVAC-Bodycopy"/>
        <w:ind w:left="1276"/>
      </w:pPr>
      <w:r>
        <w:t xml:space="preserve">The £18 million HTE provider growth fund announced by the Secretary of State in June 2021 poses eligibility problems for some HEIs. To qualify for funding an HEI must have a good or outstanding Ofsted grade (for Apprenticeship) if inspected and of more significance to the sector be delivering level 4 and 5 technical education provision which relate to their intended HTQ offering. That is an HEI cannot use the Growth Fund to move into level 4 and 5 technical education provision. In contrast, the fund criteria allow for further education colleges delivering T levels in the same occupational areas to use the fund to expand into higher technical qualification delivery.  UVAC has raised this anomaly with ESFA/DfE. The publicity surrounding the launch of the fund was rather ‘anti-HE’ with the then Secretary of State commenting “We want to counter the myth that a degree is the only way to a good job”. UVAC has always emphasised the importance and value of degrees in the jobs market and argued for the need to create progression routes and top-ups between HTQs and bachelor’s degrees.  </w:t>
      </w:r>
    </w:p>
    <w:p w14:paraId="61F2ECB6" w14:textId="3F6FDA75" w:rsidR="00440583" w:rsidRPr="00440583" w:rsidRDefault="00440583" w:rsidP="00440583">
      <w:pPr>
        <w:ind w:left="0"/>
        <w:rPr>
          <w:rFonts w:cs="Open Sans"/>
          <w:color w:val="101820"/>
          <w:szCs w:val="20"/>
        </w:rPr>
      </w:pPr>
      <w:r>
        <w:br w:type="page"/>
      </w:r>
    </w:p>
    <w:p w14:paraId="1ED774D3" w14:textId="00C99AF7" w:rsidR="00440583" w:rsidRPr="002A3850" w:rsidRDefault="00440583" w:rsidP="00440583">
      <w:pPr>
        <w:pStyle w:val="UVAC-Bodycopy"/>
        <w:numPr>
          <w:ilvl w:val="0"/>
          <w:numId w:val="3"/>
        </w:numPr>
        <w:rPr>
          <w:rFonts w:ascii="Catamaran" w:hAnsi="Catamaran" w:cs="Catamaran"/>
          <w:b/>
          <w:sz w:val="28"/>
          <w:szCs w:val="28"/>
        </w:rPr>
      </w:pPr>
      <w:r>
        <w:rPr>
          <w:rFonts w:ascii="Catamaran" w:hAnsi="Catamaran" w:cs="Catamaran"/>
          <w:b/>
          <w:sz w:val="28"/>
          <w:szCs w:val="28"/>
        </w:rPr>
        <w:lastRenderedPageBreak/>
        <w:t>How do HTQs Relate to New T Levels</w:t>
      </w:r>
      <w:r w:rsidRPr="002A3850">
        <w:rPr>
          <w:rFonts w:ascii="Catamaran" w:hAnsi="Catamaran" w:cs="Catamaran"/>
          <w:b/>
          <w:sz w:val="28"/>
          <w:szCs w:val="28"/>
        </w:rPr>
        <w:t>?</w:t>
      </w:r>
    </w:p>
    <w:p w14:paraId="6762677C" w14:textId="59F51152" w:rsidR="00440583" w:rsidRPr="00440583" w:rsidRDefault="00440583" w:rsidP="00440583">
      <w:pPr>
        <w:pStyle w:val="UVAC-Bodycopy"/>
        <w:ind w:left="1276"/>
      </w:pPr>
      <w:r w:rsidRPr="00440583">
        <w:t xml:space="preserve">T Levels are a level 3 qualification, HTQs are a level 4 and 5 </w:t>
      </w:r>
      <w:proofErr w:type="gramStart"/>
      <w:r w:rsidRPr="00440583">
        <w:t>qualification</w:t>
      </w:r>
      <w:proofErr w:type="gramEnd"/>
      <w:r w:rsidRPr="00440583">
        <w:t xml:space="preserve">.  T Levels are being introduced as a new ‘technical’ pathway to complement the ‘academic’ A Level pathway.  16 – </w:t>
      </w:r>
      <w:r w:rsidRPr="00440583">
        <w:t>18-year-olds</w:t>
      </w:r>
      <w:r w:rsidRPr="00440583">
        <w:t xml:space="preserve"> will in most cases be offered two choices: A levels or a T Level, with a very limited number undertaking Apprenticeships.  Government wants Applied Generals (e.g., BTEC and Cambridge </w:t>
      </w:r>
      <w:proofErr w:type="spellStart"/>
      <w:r w:rsidRPr="00440583">
        <w:t>Technicals</w:t>
      </w:r>
      <w:proofErr w:type="spellEnd"/>
      <w:r w:rsidRPr="00440583">
        <w:t xml:space="preserve">) to become rare.  Both T Levels and HTQs are related to Occupational Standards.  HTQs should form a good progression route for students who have taken T Levels.  HEIs should be aware that at least in the early years of their roll out, cohort sizes and geographical availability of mandatory T level work placements (a minimum of 315 hours in a role relevant to the T Level) will make the financial feasibility of many HTQ programmes that rely on T Level entrants questionable.  It is likely that in some sectors e.g., health, nursing and social care T Level/HTQ progression pathways will develop as important new routes to higher education for young people.  </w:t>
      </w:r>
    </w:p>
    <w:p w14:paraId="2FAEAE2C" w14:textId="37018629" w:rsidR="00040B88" w:rsidRPr="00440583" w:rsidRDefault="00440583" w:rsidP="00440583">
      <w:pPr>
        <w:pStyle w:val="UVAC-Bodycopy"/>
        <w:ind w:left="1276"/>
      </w:pPr>
      <w:r w:rsidRPr="00440583">
        <w:t>UVAC continues to make the case for a ‘climbing frame’ approach to progression rather than a binary choice and separate “academic” A Level/degree and “technical” T Level/HTQ progression routes.  The promotion of the technical pathway is often combined with the message that you do not need to go to university to get a good job.  As part of UVAC’s support we will outline how progression from T Levels to HTQs is and can work in key subject areas and we frequently raise the importance of Applied Generals in supporting access and participation to HE for underrepresented cohorts.</w:t>
      </w:r>
    </w:p>
    <w:p w14:paraId="6CE4D2C8" w14:textId="0D641922" w:rsidR="001473CE" w:rsidRPr="001473CE" w:rsidRDefault="001473CE" w:rsidP="00CC5C14">
      <w:pPr>
        <w:ind w:left="1494"/>
        <w:rPr>
          <w:rFonts w:ascii="Times New Roman" w:eastAsia="Times New Roman" w:hAnsi="Times New Roman" w:cs="Times New Roman"/>
          <w:sz w:val="24"/>
          <w:lang w:eastAsia="en-GB"/>
        </w:rPr>
      </w:pPr>
    </w:p>
    <w:p w14:paraId="73954E66" w14:textId="6358413F" w:rsidR="00040B88" w:rsidRPr="00040B88" w:rsidRDefault="00440583" w:rsidP="00440583">
      <w:pPr>
        <w:pStyle w:val="UVAC-Bodycopy"/>
        <w:numPr>
          <w:ilvl w:val="0"/>
          <w:numId w:val="3"/>
        </w:numPr>
        <w:rPr>
          <w:rFonts w:ascii="Catamaran" w:hAnsi="Catamaran" w:cs="Catamaran"/>
          <w:b/>
          <w:sz w:val="28"/>
          <w:szCs w:val="28"/>
        </w:rPr>
      </w:pPr>
      <w:r>
        <w:rPr>
          <w:rFonts w:ascii="Catamaran" w:hAnsi="Catamaran" w:cs="Catamaran"/>
          <w:b/>
          <w:sz w:val="28"/>
          <w:szCs w:val="28"/>
        </w:rPr>
        <w:t>How are HTQs Funded?</w:t>
      </w:r>
    </w:p>
    <w:p w14:paraId="28091E9B" w14:textId="77777777" w:rsidR="00440583" w:rsidRPr="00440583" w:rsidRDefault="00440583" w:rsidP="00440583">
      <w:pPr>
        <w:ind w:left="1276"/>
        <w:rPr>
          <w:rFonts w:cs="Open Sans"/>
          <w:color w:val="101820"/>
          <w:szCs w:val="20"/>
        </w:rPr>
      </w:pPr>
      <w:r w:rsidRPr="00440583">
        <w:rPr>
          <w:rFonts w:cs="Open Sans"/>
          <w:color w:val="101820"/>
          <w:szCs w:val="20"/>
        </w:rPr>
        <w:t>HTQs are funded in the same way as the qualification awarded the quality mark.  For an FHEQ qualification this will be through the student loans system.  Changes are, however, coming.  Government has been clear that in the medium to long-term it wants to introduce financial disincentives for level 4 and level 5 technical qualifications that have not been awarded the quality mark.  More broadly Government is aiming for the new Lifelong Loan Entitlement to “transform the current student loans system so that adults will be able to access a flexible loan entitlement to the equivalent of 4 years of student loans for higher-level study and training at university or college”.  The Lifelong Learning Entitlement is being trialled from 2022 and introduced in 2025. Part of the rationale for the Lifelong Learning Entitlement is to support the delivery of new forms of provision and a national FE and HE credit system with credit transfer between institutions and courses and an enhanced use of digital learning.</w:t>
      </w:r>
    </w:p>
    <w:p w14:paraId="5165B6EE" w14:textId="77777777" w:rsidR="002918F3" w:rsidRPr="00040B88" w:rsidRDefault="002918F3" w:rsidP="002918F3">
      <w:pPr>
        <w:pStyle w:val="UVAC-Bodycopy"/>
      </w:pPr>
    </w:p>
    <w:p w14:paraId="4627B0E9" w14:textId="01357066" w:rsidR="00040B88" w:rsidRPr="00040B88" w:rsidRDefault="00440583" w:rsidP="00440583">
      <w:pPr>
        <w:pStyle w:val="UVAC-Bodycopy"/>
        <w:numPr>
          <w:ilvl w:val="0"/>
          <w:numId w:val="3"/>
        </w:numPr>
        <w:rPr>
          <w:rFonts w:ascii="Catamaran" w:hAnsi="Catamaran" w:cs="Catamaran"/>
          <w:b/>
          <w:sz w:val="28"/>
          <w:szCs w:val="28"/>
        </w:rPr>
      </w:pPr>
      <w:r>
        <w:rPr>
          <w:rFonts w:ascii="Catamaran" w:hAnsi="Catamaran" w:cs="Catamaran"/>
          <w:b/>
          <w:sz w:val="28"/>
          <w:szCs w:val="28"/>
        </w:rPr>
        <w:t>Who Quality Assures HTQs?</w:t>
      </w:r>
    </w:p>
    <w:p w14:paraId="36EDE5F0" w14:textId="77777777" w:rsidR="00440583" w:rsidRPr="00440583" w:rsidRDefault="00440583" w:rsidP="00440583">
      <w:pPr>
        <w:ind w:left="1276"/>
        <w:rPr>
          <w:rFonts w:cs="Open Sans"/>
          <w:color w:val="101820"/>
          <w:szCs w:val="20"/>
        </w:rPr>
      </w:pPr>
      <w:r w:rsidRPr="00440583">
        <w:rPr>
          <w:rFonts w:cs="Open Sans"/>
          <w:color w:val="101820"/>
          <w:szCs w:val="20"/>
        </w:rPr>
        <w:t xml:space="preserve">The HTQ quality mark is awarded by </w:t>
      </w:r>
      <w:proofErr w:type="spellStart"/>
      <w:r w:rsidRPr="00440583">
        <w:rPr>
          <w:rFonts w:cs="Open Sans"/>
          <w:color w:val="101820"/>
          <w:szCs w:val="20"/>
        </w:rPr>
        <w:t>IfATE</w:t>
      </w:r>
      <w:proofErr w:type="spellEnd"/>
      <w:r w:rsidRPr="00440583">
        <w:rPr>
          <w:rFonts w:cs="Open Sans"/>
          <w:color w:val="101820"/>
          <w:szCs w:val="20"/>
        </w:rPr>
        <w:t>. The Institute is currently working on quality assurance arrangements for the quality mark and the approval process of all technical qualifications.  Quality assurance arrangements for the qualification awarded the HTQ quality mark are determined by the type of qualification (e.g., whether FHEQ or RQF regulated) and type of provider delivering the qualification.  Existing arrangements apply.</w:t>
      </w:r>
    </w:p>
    <w:p w14:paraId="47FEC361" w14:textId="3B68B13C" w:rsidR="00941FD1" w:rsidRPr="00793410" w:rsidRDefault="00941FD1" w:rsidP="00793410">
      <w:pPr>
        <w:ind w:left="0"/>
        <w:rPr>
          <w:rFonts w:cs="Open Sans"/>
          <w:color w:val="101820"/>
          <w:szCs w:val="20"/>
        </w:rPr>
      </w:pPr>
    </w:p>
    <w:p w14:paraId="7890BD4B" w14:textId="02663DE7" w:rsidR="00941FD1" w:rsidRPr="00223E97" w:rsidRDefault="00223E97" w:rsidP="00223E97">
      <w:pPr>
        <w:pStyle w:val="UVAC-Bodycopy"/>
        <w:numPr>
          <w:ilvl w:val="0"/>
          <w:numId w:val="3"/>
        </w:numPr>
        <w:rPr>
          <w:rFonts w:ascii="Catamaran" w:hAnsi="Catamaran" w:cs="Catamaran"/>
          <w:b/>
          <w:sz w:val="28"/>
          <w:szCs w:val="28"/>
        </w:rPr>
      </w:pPr>
      <w:r>
        <w:rPr>
          <w:rFonts w:ascii="Catamaran" w:hAnsi="Catamaran" w:cs="Catamaran"/>
          <w:b/>
          <w:sz w:val="28"/>
          <w:szCs w:val="28"/>
        </w:rPr>
        <w:lastRenderedPageBreak/>
        <w:t>What is the Timetable for the Rollout of the Reforms to Technical Education and HTQs?</w:t>
      </w:r>
    </w:p>
    <w:tbl>
      <w:tblPr>
        <w:tblStyle w:val="TableGrid"/>
        <w:tblW w:w="9923" w:type="dxa"/>
        <w:tblInd w:w="-5" w:type="dxa"/>
        <w:tblLook w:val="04A0" w:firstRow="1" w:lastRow="0" w:firstColumn="1" w:lastColumn="0" w:noHBand="0" w:noVBand="1"/>
      </w:tblPr>
      <w:tblGrid>
        <w:gridCol w:w="1664"/>
        <w:gridCol w:w="8259"/>
      </w:tblGrid>
      <w:tr w:rsidR="00223E97" w:rsidRPr="00223E97" w14:paraId="0A896BC3" w14:textId="77777777" w:rsidTr="00223E97">
        <w:tc>
          <w:tcPr>
            <w:tcW w:w="9923" w:type="dxa"/>
            <w:gridSpan w:val="2"/>
          </w:tcPr>
          <w:p w14:paraId="14DD5819" w14:textId="77777777" w:rsidR="00223E97" w:rsidRPr="00223E97" w:rsidRDefault="00223E97" w:rsidP="00223E97">
            <w:pPr>
              <w:ind w:left="0"/>
              <w:rPr>
                <w:rFonts w:cs="Open Sans"/>
                <w:b/>
                <w:szCs w:val="20"/>
              </w:rPr>
            </w:pPr>
            <w:r w:rsidRPr="00223E97">
              <w:rPr>
                <w:rFonts w:cs="Open Sans"/>
                <w:b/>
                <w:szCs w:val="20"/>
              </w:rPr>
              <w:t xml:space="preserve">Technical Qualifications: T levels and </w:t>
            </w:r>
            <w:r w:rsidRPr="00223E97">
              <w:rPr>
                <w:rFonts w:cs="Open Sans"/>
                <w:b/>
                <w:color w:val="0070C0"/>
                <w:szCs w:val="20"/>
              </w:rPr>
              <w:t>HTQs</w:t>
            </w:r>
            <w:r w:rsidRPr="00223E97">
              <w:rPr>
                <w:rFonts w:cs="Open Sans"/>
                <w:b/>
                <w:szCs w:val="20"/>
              </w:rPr>
              <w:t xml:space="preserve"> - Summary Timetable</w:t>
            </w:r>
          </w:p>
        </w:tc>
      </w:tr>
      <w:tr w:rsidR="00223E97" w:rsidRPr="00223E97" w14:paraId="22BE0BA4" w14:textId="77777777" w:rsidTr="00223E97">
        <w:tc>
          <w:tcPr>
            <w:tcW w:w="1560" w:type="dxa"/>
          </w:tcPr>
          <w:p w14:paraId="54F7BF8D" w14:textId="77777777" w:rsidR="00223E97" w:rsidRPr="00223E97" w:rsidRDefault="00223E97" w:rsidP="00223E97">
            <w:pPr>
              <w:ind w:left="0"/>
              <w:rPr>
                <w:rFonts w:cs="Open Sans"/>
                <w:b/>
                <w:szCs w:val="20"/>
              </w:rPr>
            </w:pPr>
            <w:r w:rsidRPr="00223E97">
              <w:rPr>
                <w:rFonts w:cs="Open Sans"/>
                <w:b/>
                <w:szCs w:val="20"/>
              </w:rPr>
              <w:t>Date</w:t>
            </w:r>
          </w:p>
        </w:tc>
        <w:tc>
          <w:tcPr>
            <w:tcW w:w="8363" w:type="dxa"/>
          </w:tcPr>
          <w:p w14:paraId="3F7C6867" w14:textId="77777777" w:rsidR="00223E97" w:rsidRPr="00223E97" w:rsidRDefault="00223E97" w:rsidP="00223E97">
            <w:pPr>
              <w:ind w:left="0"/>
              <w:rPr>
                <w:rFonts w:cs="Open Sans"/>
                <w:b/>
                <w:szCs w:val="20"/>
              </w:rPr>
            </w:pPr>
            <w:r w:rsidRPr="00223E97">
              <w:rPr>
                <w:rFonts w:cs="Open Sans"/>
                <w:b/>
                <w:szCs w:val="20"/>
              </w:rPr>
              <w:t>Detail</w:t>
            </w:r>
          </w:p>
        </w:tc>
      </w:tr>
      <w:tr w:rsidR="00223E97" w:rsidRPr="00223E97" w14:paraId="5B69A2D5" w14:textId="77777777" w:rsidTr="00223E97">
        <w:tc>
          <w:tcPr>
            <w:tcW w:w="1560" w:type="dxa"/>
            <w:vMerge w:val="restart"/>
          </w:tcPr>
          <w:p w14:paraId="6FD14C58" w14:textId="77777777" w:rsidR="00223E97" w:rsidRPr="00223E97" w:rsidRDefault="00223E97" w:rsidP="00223E97">
            <w:pPr>
              <w:ind w:left="0"/>
              <w:rPr>
                <w:rFonts w:cs="Open Sans"/>
                <w:bCs/>
                <w:szCs w:val="20"/>
              </w:rPr>
            </w:pPr>
            <w:r w:rsidRPr="00223E97">
              <w:rPr>
                <w:rFonts w:cs="Open Sans"/>
                <w:bCs/>
                <w:szCs w:val="20"/>
              </w:rPr>
              <w:t>September 2020</w:t>
            </w:r>
          </w:p>
        </w:tc>
        <w:tc>
          <w:tcPr>
            <w:tcW w:w="8363" w:type="dxa"/>
          </w:tcPr>
          <w:p w14:paraId="4B6ACDE5" w14:textId="77777777" w:rsidR="00223E97" w:rsidRPr="00223E97" w:rsidRDefault="00223E97" w:rsidP="00223E97">
            <w:pPr>
              <w:ind w:left="0"/>
              <w:rPr>
                <w:rFonts w:cs="Open Sans"/>
                <w:bCs/>
                <w:szCs w:val="20"/>
              </w:rPr>
            </w:pPr>
            <w:r w:rsidRPr="00223E97">
              <w:rPr>
                <w:rFonts w:cs="Open Sans"/>
                <w:b/>
                <w:szCs w:val="20"/>
              </w:rPr>
              <w:t>1</w:t>
            </w:r>
            <w:r w:rsidRPr="00223E97">
              <w:rPr>
                <w:rFonts w:cs="Open Sans"/>
                <w:b/>
                <w:szCs w:val="20"/>
                <w:vertAlign w:val="superscript"/>
              </w:rPr>
              <w:t>st</w:t>
            </w:r>
            <w:r w:rsidRPr="00223E97">
              <w:rPr>
                <w:rFonts w:cs="Open Sans"/>
                <w:b/>
                <w:szCs w:val="20"/>
              </w:rPr>
              <w:t xml:space="preserve"> Wave T level delivery</w:t>
            </w:r>
            <w:r w:rsidRPr="00223E97">
              <w:rPr>
                <w:rFonts w:cs="Open Sans"/>
                <w:bCs/>
                <w:szCs w:val="20"/>
              </w:rPr>
              <w:t xml:space="preserve"> </w:t>
            </w:r>
            <w:r w:rsidRPr="00223E97">
              <w:rPr>
                <w:rFonts w:cs="Open Sans"/>
                <w:b/>
                <w:szCs w:val="20"/>
              </w:rPr>
              <w:t>starts.</w:t>
            </w:r>
          </w:p>
        </w:tc>
      </w:tr>
      <w:tr w:rsidR="00223E97" w:rsidRPr="00223E97" w14:paraId="0536AC97" w14:textId="77777777" w:rsidTr="00223E97">
        <w:tc>
          <w:tcPr>
            <w:tcW w:w="1560" w:type="dxa"/>
            <w:vMerge/>
          </w:tcPr>
          <w:p w14:paraId="7E989AA5" w14:textId="77777777" w:rsidR="00223E97" w:rsidRPr="00223E97" w:rsidRDefault="00223E97" w:rsidP="007C4B83">
            <w:pPr>
              <w:rPr>
                <w:rFonts w:cs="Open Sans"/>
                <w:bCs/>
                <w:szCs w:val="20"/>
              </w:rPr>
            </w:pPr>
          </w:p>
        </w:tc>
        <w:tc>
          <w:tcPr>
            <w:tcW w:w="8363" w:type="dxa"/>
          </w:tcPr>
          <w:p w14:paraId="3F71A0E8" w14:textId="77777777" w:rsidR="00223E97" w:rsidRPr="00223E97" w:rsidRDefault="00223E97" w:rsidP="00223E97">
            <w:pPr>
              <w:ind w:left="0"/>
              <w:rPr>
                <w:rFonts w:cs="Open Sans"/>
                <w:bCs/>
                <w:szCs w:val="20"/>
              </w:rPr>
            </w:pPr>
            <w:r w:rsidRPr="00223E97">
              <w:rPr>
                <w:rFonts w:cs="Open Sans"/>
                <w:bCs/>
                <w:szCs w:val="20"/>
              </w:rPr>
              <w:t>46 providers.</w:t>
            </w:r>
          </w:p>
        </w:tc>
      </w:tr>
      <w:tr w:rsidR="00223E97" w:rsidRPr="00223E97" w14:paraId="5892DAC2" w14:textId="77777777" w:rsidTr="00223E97">
        <w:tc>
          <w:tcPr>
            <w:tcW w:w="1560" w:type="dxa"/>
            <w:vMerge/>
          </w:tcPr>
          <w:p w14:paraId="1D87DB33" w14:textId="77777777" w:rsidR="00223E97" w:rsidRPr="00223E97" w:rsidRDefault="00223E97" w:rsidP="007C4B83">
            <w:pPr>
              <w:rPr>
                <w:rFonts w:cs="Open Sans"/>
                <w:bCs/>
                <w:szCs w:val="20"/>
              </w:rPr>
            </w:pPr>
          </w:p>
        </w:tc>
        <w:tc>
          <w:tcPr>
            <w:tcW w:w="8363" w:type="dxa"/>
          </w:tcPr>
          <w:p w14:paraId="7FF0EBCB" w14:textId="77777777" w:rsidR="00223E97" w:rsidRPr="00223E97" w:rsidRDefault="00223E97" w:rsidP="00223E97">
            <w:pPr>
              <w:ind w:left="0"/>
              <w:rPr>
                <w:rFonts w:cs="Open Sans"/>
                <w:bCs/>
                <w:szCs w:val="20"/>
              </w:rPr>
            </w:pPr>
            <w:r w:rsidRPr="00223E97">
              <w:rPr>
                <w:rFonts w:cs="Open Sans"/>
                <w:bCs/>
                <w:szCs w:val="20"/>
              </w:rPr>
              <w:t>3 T levels.</w:t>
            </w:r>
          </w:p>
        </w:tc>
      </w:tr>
      <w:tr w:rsidR="00223E97" w:rsidRPr="00223E97" w14:paraId="7E54F8E8" w14:textId="77777777" w:rsidTr="00223E97">
        <w:tc>
          <w:tcPr>
            <w:tcW w:w="1560" w:type="dxa"/>
            <w:vMerge w:val="restart"/>
          </w:tcPr>
          <w:p w14:paraId="14DF22D0" w14:textId="77777777" w:rsidR="00223E97" w:rsidRPr="00223E97" w:rsidRDefault="00223E97" w:rsidP="00223E97">
            <w:pPr>
              <w:ind w:left="0"/>
              <w:rPr>
                <w:rFonts w:cs="Open Sans"/>
                <w:bCs/>
                <w:color w:val="000000" w:themeColor="text1"/>
                <w:szCs w:val="20"/>
              </w:rPr>
            </w:pPr>
            <w:r w:rsidRPr="00223E97">
              <w:rPr>
                <w:rFonts w:cs="Open Sans"/>
                <w:bCs/>
                <w:color w:val="000000" w:themeColor="text1"/>
                <w:szCs w:val="20"/>
              </w:rPr>
              <w:t>23 September – 16 December 2020</w:t>
            </w:r>
          </w:p>
        </w:tc>
        <w:tc>
          <w:tcPr>
            <w:tcW w:w="8363" w:type="dxa"/>
          </w:tcPr>
          <w:p w14:paraId="4F475356" w14:textId="77777777" w:rsidR="00223E97" w:rsidRPr="00223E97" w:rsidRDefault="00223E97" w:rsidP="00223E97">
            <w:pPr>
              <w:ind w:left="0"/>
              <w:rPr>
                <w:rFonts w:cs="Open Sans"/>
                <w:bCs/>
                <w:color w:val="FF0000"/>
                <w:szCs w:val="20"/>
              </w:rPr>
            </w:pPr>
            <w:r w:rsidRPr="00223E97">
              <w:rPr>
                <w:rFonts w:cs="Open Sans"/>
                <w:b/>
                <w:color w:val="0070C0"/>
                <w:szCs w:val="20"/>
              </w:rPr>
              <w:t>Cycle 1 HTQs:</w:t>
            </w:r>
            <w:r w:rsidRPr="00223E97">
              <w:rPr>
                <w:rFonts w:cs="Open Sans"/>
                <w:bCs/>
                <w:color w:val="FF0000"/>
                <w:szCs w:val="20"/>
              </w:rPr>
              <w:t xml:space="preserve"> Approvals window for the </w:t>
            </w:r>
            <w:r w:rsidRPr="00223E97">
              <w:rPr>
                <w:rFonts w:cs="Open Sans"/>
                <w:b/>
                <w:color w:val="FF0000"/>
                <w:szCs w:val="20"/>
              </w:rPr>
              <w:t xml:space="preserve">DIGITAL ROUTE </w:t>
            </w:r>
            <w:r w:rsidRPr="00223E97">
              <w:rPr>
                <w:rFonts w:cs="Open Sans"/>
                <w:bCs/>
                <w:color w:val="FF0000"/>
                <w:szCs w:val="20"/>
              </w:rPr>
              <w:t>(7 occupations)</w:t>
            </w:r>
            <w:r w:rsidRPr="00223E97">
              <w:rPr>
                <w:rFonts w:cs="Open Sans"/>
                <w:b/>
                <w:color w:val="FF0000"/>
                <w:szCs w:val="20"/>
              </w:rPr>
              <w:t xml:space="preserve"> </w:t>
            </w:r>
            <w:r w:rsidRPr="00223E97">
              <w:rPr>
                <w:rFonts w:cs="Open Sans"/>
                <w:bCs/>
                <w:color w:val="FF0000"/>
                <w:szCs w:val="20"/>
              </w:rPr>
              <w:t>opens.</w:t>
            </w:r>
          </w:p>
        </w:tc>
      </w:tr>
      <w:tr w:rsidR="00223E97" w:rsidRPr="00223E97" w14:paraId="2E343061" w14:textId="77777777" w:rsidTr="00223E97">
        <w:tc>
          <w:tcPr>
            <w:tcW w:w="1560" w:type="dxa"/>
            <w:vMerge/>
          </w:tcPr>
          <w:p w14:paraId="1CDDE75A" w14:textId="77777777" w:rsidR="00223E97" w:rsidRPr="00223E97" w:rsidRDefault="00223E97" w:rsidP="007C4B83">
            <w:pPr>
              <w:rPr>
                <w:rFonts w:cs="Open Sans"/>
                <w:bCs/>
                <w:color w:val="000000" w:themeColor="text1"/>
                <w:szCs w:val="20"/>
              </w:rPr>
            </w:pPr>
          </w:p>
        </w:tc>
        <w:tc>
          <w:tcPr>
            <w:tcW w:w="8363" w:type="dxa"/>
          </w:tcPr>
          <w:p w14:paraId="08011FF8" w14:textId="77777777" w:rsidR="00223E97" w:rsidRPr="00223E97" w:rsidRDefault="00223E97" w:rsidP="00223E97">
            <w:pPr>
              <w:ind w:left="0"/>
              <w:rPr>
                <w:rFonts w:cs="Open Sans"/>
                <w:bCs/>
                <w:color w:val="FF0000"/>
                <w:szCs w:val="20"/>
              </w:rPr>
            </w:pPr>
            <w:r w:rsidRPr="00223E97">
              <w:rPr>
                <w:rFonts w:cs="Open Sans"/>
                <w:b/>
                <w:color w:val="FF0000"/>
                <w:szCs w:val="20"/>
              </w:rPr>
              <w:t>22 submissions</w:t>
            </w:r>
            <w:r w:rsidRPr="00223E97">
              <w:rPr>
                <w:rFonts w:cs="Open Sans"/>
                <w:bCs/>
                <w:color w:val="FF0000"/>
                <w:szCs w:val="20"/>
              </w:rPr>
              <w:t xml:space="preserve"> made including qualifications from NTU, OU, Staffordshire University and University of Plymouth.</w:t>
            </w:r>
          </w:p>
        </w:tc>
      </w:tr>
      <w:tr w:rsidR="00223E97" w:rsidRPr="00223E97" w14:paraId="5EE0093C" w14:textId="77777777" w:rsidTr="00223E97">
        <w:tc>
          <w:tcPr>
            <w:tcW w:w="1560" w:type="dxa"/>
          </w:tcPr>
          <w:p w14:paraId="2330D76D" w14:textId="77777777" w:rsidR="00223E97" w:rsidRPr="00223E97" w:rsidRDefault="00223E97" w:rsidP="00223E97">
            <w:pPr>
              <w:ind w:left="0"/>
              <w:rPr>
                <w:rFonts w:cs="Open Sans"/>
                <w:bCs/>
                <w:color w:val="000000" w:themeColor="text1"/>
                <w:szCs w:val="20"/>
              </w:rPr>
            </w:pPr>
            <w:r w:rsidRPr="00223E97">
              <w:rPr>
                <w:rFonts w:cs="Open Sans"/>
                <w:bCs/>
                <w:color w:val="000000" w:themeColor="text1"/>
                <w:szCs w:val="20"/>
              </w:rPr>
              <w:t>January 2021</w:t>
            </w:r>
          </w:p>
        </w:tc>
        <w:tc>
          <w:tcPr>
            <w:tcW w:w="8363" w:type="dxa"/>
          </w:tcPr>
          <w:p w14:paraId="23C53070" w14:textId="77777777" w:rsidR="00223E97" w:rsidRPr="00223E97" w:rsidRDefault="00223E97" w:rsidP="00223E97">
            <w:pPr>
              <w:ind w:left="0"/>
              <w:rPr>
                <w:rFonts w:cs="Open Sans"/>
                <w:b/>
                <w:color w:val="FF0000"/>
                <w:szCs w:val="20"/>
              </w:rPr>
            </w:pPr>
            <w:r w:rsidRPr="00223E97">
              <w:rPr>
                <w:rFonts w:cs="Open Sans"/>
                <w:b/>
                <w:color w:val="FF0000"/>
                <w:szCs w:val="20"/>
              </w:rPr>
              <w:t xml:space="preserve">Skills for Jobs White Paper </w:t>
            </w:r>
            <w:r w:rsidRPr="00223E97">
              <w:rPr>
                <w:rFonts w:cs="Open Sans"/>
                <w:bCs/>
                <w:color w:val="FF0000"/>
                <w:szCs w:val="20"/>
              </w:rPr>
              <w:t xml:space="preserve">published forming a key part of Government’s </w:t>
            </w:r>
            <w:r w:rsidRPr="00223E97">
              <w:rPr>
                <w:rFonts w:cs="Open Sans"/>
                <w:b/>
                <w:color w:val="FF0000"/>
                <w:szCs w:val="20"/>
              </w:rPr>
              <w:t>Plan for Jobs</w:t>
            </w:r>
          </w:p>
        </w:tc>
      </w:tr>
      <w:tr w:rsidR="00223E97" w:rsidRPr="00223E97" w14:paraId="3F553718" w14:textId="77777777" w:rsidTr="00223E97">
        <w:tc>
          <w:tcPr>
            <w:tcW w:w="1560" w:type="dxa"/>
          </w:tcPr>
          <w:p w14:paraId="53CF26C0" w14:textId="77777777" w:rsidR="00223E97" w:rsidRPr="00223E97" w:rsidRDefault="00223E97" w:rsidP="00223E97">
            <w:pPr>
              <w:ind w:left="0"/>
              <w:rPr>
                <w:rFonts w:cs="Open Sans"/>
                <w:bCs/>
                <w:color w:val="000000" w:themeColor="text1"/>
                <w:szCs w:val="20"/>
              </w:rPr>
            </w:pPr>
            <w:r w:rsidRPr="00223E97">
              <w:rPr>
                <w:rFonts w:cs="Open Sans"/>
                <w:bCs/>
                <w:color w:val="000000" w:themeColor="text1"/>
                <w:szCs w:val="20"/>
              </w:rPr>
              <w:t>1 April 2021</w:t>
            </w:r>
          </w:p>
        </w:tc>
        <w:tc>
          <w:tcPr>
            <w:tcW w:w="8363" w:type="dxa"/>
          </w:tcPr>
          <w:p w14:paraId="4D0E796D" w14:textId="77777777" w:rsidR="00223E97" w:rsidRPr="00223E97" w:rsidRDefault="00223E97" w:rsidP="00223E97">
            <w:pPr>
              <w:ind w:left="0"/>
              <w:rPr>
                <w:rFonts w:cs="Open Sans"/>
                <w:bCs/>
                <w:color w:val="FF0000"/>
                <w:szCs w:val="20"/>
              </w:rPr>
            </w:pPr>
            <w:r w:rsidRPr="00223E97">
              <w:rPr>
                <w:rFonts w:cs="Open Sans"/>
                <w:bCs/>
                <w:color w:val="FF0000"/>
                <w:szCs w:val="20"/>
              </w:rPr>
              <w:t xml:space="preserve">400 qualifications available to take backed by £95m government funding in 2021/22 as part of the </w:t>
            </w:r>
            <w:r w:rsidRPr="00223E97">
              <w:rPr>
                <w:rFonts w:cs="Open Sans"/>
                <w:b/>
                <w:color w:val="FF0000"/>
                <w:szCs w:val="20"/>
              </w:rPr>
              <w:t xml:space="preserve">Lifetime Skills Guarantee </w:t>
            </w:r>
            <w:r w:rsidRPr="00223E97">
              <w:rPr>
                <w:rFonts w:cs="Open Sans"/>
                <w:bCs/>
                <w:color w:val="FF0000"/>
                <w:szCs w:val="20"/>
              </w:rPr>
              <w:t>for those who haven’t achieved a qualification equivalent to A levels</w:t>
            </w:r>
          </w:p>
        </w:tc>
      </w:tr>
      <w:tr w:rsidR="00223E97" w:rsidRPr="00223E97" w14:paraId="14D87448" w14:textId="77777777" w:rsidTr="00223E97">
        <w:tc>
          <w:tcPr>
            <w:tcW w:w="1560" w:type="dxa"/>
          </w:tcPr>
          <w:p w14:paraId="432F6E28" w14:textId="77777777" w:rsidR="00223E97" w:rsidRPr="00223E97" w:rsidRDefault="00223E97" w:rsidP="00223E97">
            <w:pPr>
              <w:ind w:left="0"/>
              <w:rPr>
                <w:rFonts w:cs="Open Sans"/>
                <w:bCs/>
                <w:color w:val="000000" w:themeColor="text1"/>
                <w:szCs w:val="20"/>
              </w:rPr>
            </w:pPr>
            <w:r w:rsidRPr="00223E97">
              <w:rPr>
                <w:rFonts w:cs="Open Sans"/>
                <w:bCs/>
                <w:color w:val="000000" w:themeColor="text1"/>
                <w:szCs w:val="20"/>
              </w:rPr>
              <w:t>May 2021</w:t>
            </w:r>
          </w:p>
        </w:tc>
        <w:tc>
          <w:tcPr>
            <w:tcW w:w="8363" w:type="dxa"/>
          </w:tcPr>
          <w:p w14:paraId="0DA1D797" w14:textId="77777777" w:rsidR="00223E97" w:rsidRPr="00223E97" w:rsidRDefault="00223E97" w:rsidP="00223E97">
            <w:pPr>
              <w:ind w:left="0"/>
              <w:rPr>
                <w:rFonts w:cs="Open Sans"/>
                <w:bCs/>
                <w:color w:val="FF0000"/>
                <w:szCs w:val="20"/>
              </w:rPr>
            </w:pPr>
            <w:r w:rsidRPr="00223E97">
              <w:rPr>
                <w:rFonts w:cs="Open Sans"/>
                <w:b/>
                <w:color w:val="FF0000"/>
                <w:szCs w:val="20"/>
              </w:rPr>
              <w:t>Skills and Post-16 Education Bill</w:t>
            </w:r>
            <w:r w:rsidRPr="00223E97">
              <w:rPr>
                <w:rFonts w:cs="Open Sans"/>
                <w:bCs/>
                <w:color w:val="FF0000"/>
                <w:szCs w:val="20"/>
              </w:rPr>
              <w:t xml:space="preserve"> </w:t>
            </w:r>
            <w:proofErr w:type="gramStart"/>
            <w:r w:rsidRPr="00223E97">
              <w:rPr>
                <w:rFonts w:cs="Open Sans"/>
                <w:bCs/>
                <w:color w:val="FF0000"/>
                <w:szCs w:val="20"/>
              </w:rPr>
              <w:t>brings</w:t>
            </w:r>
            <w:proofErr w:type="gramEnd"/>
            <w:r w:rsidRPr="00223E97">
              <w:rPr>
                <w:rFonts w:cs="Open Sans"/>
                <w:bCs/>
                <w:color w:val="FF0000"/>
                <w:szCs w:val="20"/>
              </w:rPr>
              <w:t xml:space="preserve"> forward measures outlined in Government White Paper, </w:t>
            </w:r>
            <w:r w:rsidRPr="00223E97">
              <w:rPr>
                <w:rFonts w:cs="Open Sans"/>
                <w:bCs/>
                <w:i/>
                <w:iCs/>
                <w:color w:val="FF0000"/>
                <w:szCs w:val="20"/>
              </w:rPr>
              <w:t>Skills for Jobs</w:t>
            </w:r>
            <w:r w:rsidRPr="00223E97">
              <w:rPr>
                <w:rFonts w:cs="Open Sans"/>
                <w:bCs/>
                <w:color w:val="FF0000"/>
                <w:szCs w:val="20"/>
              </w:rPr>
              <w:t xml:space="preserve">, and includes details of a </w:t>
            </w:r>
            <w:r w:rsidRPr="00223E97">
              <w:rPr>
                <w:rFonts w:cs="Open Sans"/>
                <w:b/>
                <w:color w:val="FF0000"/>
                <w:szCs w:val="20"/>
              </w:rPr>
              <w:t>Lifetime Loan Entitlement (LLE)</w:t>
            </w:r>
            <w:r w:rsidRPr="00223E97">
              <w:rPr>
                <w:rFonts w:cs="Open Sans"/>
                <w:bCs/>
                <w:color w:val="FF0000"/>
                <w:szCs w:val="20"/>
              </w:rPr>
              <w:t>.</w:t>
            </w:r>
          </w:p>
        </w:tc>
      </w:tr>
      <w:tr w:rsidR="00223E97" w:rsidRPr="00223E97" w14:paraId="6E1D7DA4" w14:textId="77777777" w:rsidTr="00223E97">
        <w:tc>
          <w:tcPr>
            <w:tcW w:w="1560" w:type="dxa"/>
            <w:vMerge w:val="restart"/>
          </w:tcPr>
          <w:p w14:paraId="4EF19904" w14:textId="77777777" w:rsidR="00223E97" w:rsidRPr="00223E97" w:rsidRDefault="00223E97" w:rsidP="00223E97">
            <w:pPr>
              <w:ind w:left="0"/>
              <w:rPr>
                <w:rFonts w:cs="Open Sans"/>
                <w:bCs/>
                <w:szCs w:val="20"/>
              </w:rPr>
            </w:pPr>
            <w:r w:rsidRPr="00223E97">
              <w:rPr>
                <w:rFonts w:cs="Open Sans"/>
                <w:bCs/>
                <w:szCs w:val="20"/>
              </w:rPr>
              <w:t>30</w:t>
            </w:r>
            <w:r w:rsidRPr="00223E97">
              <w:rPr>
                <w:rFonts w:cs="Open Sans"/>
                <w:bCs/>
                <w:szCs w:val="20"/>
                <w:vertAlign w:val="superscript"/>
              </w:rPr>
              <w:t>th</w:t>
            </w:r>
            <w:r w:rsidRPr="00223E97">
              <w:rPr>
                <w:rFonts w:cs="Open Sans"/>
                <w:bCs/>
                <w:szCs w:val="20"/>
              </w:rPr>
              <w:t xml:space="preserve"> June 2021</w:t>
            </w:r>
          </w:p>
        </w:tc>
        <w:tc>
          <w:tcPr>
            <w:tcW w:w="8363" w:type="dxa"/>
          </w:tcPr>
          <w:p w14:paraId="25880466" w14:textId="77777777" w:rsidR="00223E97" w:rsidRPr="00223E97" w:rsidRDefault="00223E97" w:rsidP="00223E97">
            <w:pPr>
              <w:ind w:left="0"/>
              <w:rPr>
                <w:rFonts w:cs="Open Sans"/>
                <w:bCs/>
                <w:szCs w:val="20"/>
              </w:rPr>
            </w:pPr>
            <w:r w:rsidRPr="00223E97">
              <w:rPr>
                <w:rFonts w:cs="Open Sans"/>
                <w:b/>
                <w:color w:val="0070C0"/>
                <w:szCs w:val="20"/>
              </w:rPr>
              <w:t>Cycle 1 HTQs</w:t>
            </w:r>
            <w:r w:rsidRPr="00223E97">
              <w:rPr>
                <w:rFonts w:cs="Open Sans"/>
                <w:bCs/>
                <w:szCs w:val="20"/>
              </w:rPr>
              <w:t xml:space="preserve"> </w:t>
            </w:r>
            <w:r w:rsidRPr="00223E97">
              <w:rPr>
                <w:rFonts w:cs="Open Sans"/>
                <w:b/>
                <w:szCs w:val="20"/>
              </w:rPr>
              <w:t>approval</w:t>
            </w:r>
            <w:r w:rsidRPr="00223E97">
              <w:rPr>
                <w:rFonts w:cs="Open Sans"/>
                <w:bCs/>
                <w:szCs w:val="20"/>
              </w:rPr>
              <w:t xml:space="preserve"> of digital qualifications confirmed.</w:t>
            </w:r>
          </w:p>
        </w:tc>
      </w:tr>
      <w:tr w:rsidR="00223E97" w:rsidRPr="00223E97" w14:paraId="5DF061AF" w14:textId="77777777" w:rsidTr="00223E97">
        <w:tc>
          <w:tcPr>
            <w:tcW w:w="1560" w:type="dxa"/>
            <w:vMerge/>
          </w:tcPr>
          <w:p w14:paraId="7C69EC71" w14:textId="77777777" w:rsidR="00223E97" w:rsidRPr="00223E97" w:rsidRDefault="00223E97" w:rsidP="007C4B83">
            <w:pPr>
              <w:rPr>
                <w:rFonts w:cs="Open Sans"/>
                <w:bCs/>
                <w:szCs w:val="20"/>
              </w:rPr>
            </w:pPr>
          </w:p>
        </w:tc>
        <w:tc>
          <w:tcPr>
            <w:tcW w:w="8363" w:type="dxa"/>
          </w:tcPr>
          <w:p w14:paraId="06A0B29A" w14:textId="77777777" w:rsidR="00223E97" w:rsidRPr="00223E97" w:rsidRDefault="00223E97" w:rsidP="00223E97">
            <w:pPr>
              <w:ind w:left="0"/>
              <w:rPr>
                <w:rFonts w:cs="Open Sans"/>
                <w:bCs/>
                <w:szCs w:val="20"/>
              </w:rPr>
            </w:pPr>
            <w:r w:rsidRPr="00223E97">
              <w:rPr>
                <w:rFonts w:cs="Open Sans"/>
                <w:bCs/>
                <w:szCs w:val="20"/>
              </w:rPr>
              <w:t>19 applicants successful including NTU, OU, Staffordshire University, and University of Plymouth (as awarding body).</w:t>
            </w:r>
          </w:p>
        </w:tc>
      </w:tr>
      <w:tr w:rsidR="00223E97" w:rsidRPr="00223E97" w14:paraId="5BE60821" w14:textId="77777777" w:rsidTr="00223E97">
        <w:tc>
          <w:tcPr>
            <w:tcW w:w="1560" w:type="dxa"/>
          </w:tcPr>
          <w:p w14:paraId="69E06910" w14:textId="77777777" w:rsidR="00223E97" w:rsidRPr="00223E97" w:rsidRDefault="00223E97" w:rsidP="00223E97">
            <w:pPr>
              <w:ind w:left="0"/>
              <w:rPr>
                <w:rFonts w:cs="Open Sans"/>
                <w:bCs/>
                <w:szCs w:val="20"/>
              </w:rPr>
            </w:pPr>
            <w:r w:rsidRPr="00223E97">
              <w:rPr>
                <w:rFonts w:cs="Open Sans"/>
                <w:bCs/>
                <w:color w:val="000000" w:themeColor="text1"/>
                <w:szCs w:val="20"/>
              </w:rPr>
              <w:t>5</w:t>
            </w:r>
            <w:r w:rsidRPr="00223E97">
              <w:rPr>
                <w:rFonts w:cs="Open Sans"/>
                <w:bCs/>
                <w:color w:val="000000" w:themeColor="text1"/>
                <w:szCs w:val="20"/>
                <w:vertAlign w:val="superscript"/>
              </w:rPr>
              <w:t>th</w:t>
            </w:r>
            <w:r w:rsidRPr="00223E97">
              <w:rPr>
                <w:rFonts w:cs="Open Sans"/>
                <w:bCs/>
                <w:color w:val="000000" w:themeColor="text1"/>
                <w:szCs w:val="20"/>
              </w:rPr>
              <w:t xml:space="preserve"> July 2021</w:t>
            </w:r>
          </w:p>
        </w:tc>
        <w:tc>
          <w:tcPr>
            <w:tcW w:w="8363" w:type="dxa"/>
          </w:tcPr>
          <w:p w14:paraId="612B79A1" w14:textId="77777777" w:rsidR="00223E97" w:rsidRPr="00223E97" w:rsidRDefault="00223E97" w:rsidP="00223E97">
            <w:pPr>
              <w:ind w:left="0"/>
              <w:rPr>
                <w:rFonts w:cs="Open Sans"/>
                <w:bCs/>
                <w:szCs w:val="20"/>
              </w:rPr>
            </w:pPr>
            <w:r w:rsidRPr="00223E97">
              <w:rPr>
                <w:rFonts w:cs="Open Sans"/>
                <w:b/>
                <w:color w:val="0070C0"/>
                <w:szCs w:val="20"/>
              </w:rPr>
              <w:t>Cycle 2 HTQs:</w:t>
            </w:r>
            <w:r w:rsidRPr="00223E97">
              <w:rPr>
                <w:rFonts w:cs="Open Sans"/>
                <w:bCs/>
                <w:color w:val="FF0000"/>
                <w:szCs w:val="20"/>
              </w:rPr>
              <w:t xml:space="preserve"> Approvals window for </w:t>
            </w:r>
            <w:bookmarkStart w:id="0" w:name="OLE_LINK1"/>
            <w:bookmarkStart w:id="1" w:name="OLE_LINK2"/>
            <w:r w:rsidRPr="00223E97">
              <w:rPr>
                <w:rFonts w:cs="Open Sans"/>
                <w:b/>
                <w:color w:val="FF0000"/>
                <w:szCs w:val="20"/>
              </w:rPr>
              <w:t xml:space="preserve">DIGITAL ROUTE </w:t>
            </w:r>
            <w:r w:rsidRPr="00223E97">
              <w:rPr>
                <w:rFonts w:cs="Open Sans"/>
                <w:bCs/>
                <w:color w:val="FF0000"/>
                <w:szCs w:val="20"/>
              </w:rPr>
              <w:t xml:space="preserve">(9 occupations), </w:t>
            </w:r>
            <w:r w:rsidRPr="00223E97">
              <w:rPr>
                <w:rFonts w:cs="Open Sans"/>
                <w:b/>
                <w:color w:val="FF0000"/>
                <w:szCs w:val="20"/>
              </w:rPr>
              <w:t>CONSTRUCTION ROUTE</w:t>
            </w:r>
            <w:r w:rsidRPr="00223E97">
              <w:rPr>
                <w:rFonts w:cs="Open Sans"/>
                <w:bCs/>
                <w:color w:val="FF0000"/>
                <w:szCs w:val="20"/>
              </w:rPr>
              <w:t xml:space="preserve"> (7 occupations) and </w:t>
            </w:r>
            <w:r w:rsidRPr="00223E97">
              <w:rPr>
                <w:rFonts w:cs="Open Sans"/>
                <w:b/>
                <w:color w:val="FF0000"/>
                <w:szCs w:val="20"/>
              </w:rPr>
              <w:t>HEALTH &amp; SCIENCE ROUTE</w:t>
            </w:r>
            <w:bookmarkEnd w:id="0"/>
            <w:bookmarkEnd w:id="1"/>
            <w:r w:rsidRPr="00223E97">
              <w:rPr>
                <w:rFonts w:cs="Open Sans"/>
                <w:bCs/>
                <w:color w:val="FF0000"/>
                <w:szCs w:val="20"/>
              </w:rPr>
              <w:t xml:space="preserve"> (16 occupations) opens.</w:t>
            </w:r>
          </w:p>
        </w:tc>
      </w:tr>
      <w:tr w:rsidR="00223E97" w:rsidRPr="00223E97" w14:paraId="3A8C3B5B" w14:textId="77777777" w:rsidTr="00223E97">
        <w:tc>
          <w:tcPr>
            <w:tcW w:w="1560" w:type="dxa"/>
            <w:vMerge w:val="restart"/>
          </w:tcPr>
          <w:p w14:paraId="22D2B062" w14:textId="77777777" w:rsidR="00223E97" w:rsidRPr="00223E97" w:rsidRDefault="00223E97" w:rsidP="00223E97">
            <w:pPr>
              <w:ind w:left="0"/>
              <w:rPr>
                <w:rFonts w:cs="Open Sans"/>
                <w:bCs/>
                <w:szCs w:val="20"/>
              </w:rPr>
            </w:pPr>
            <w:r w:rsidRPr="00223E97">
              <w:rPr>
                <w:rFonts w:cs="Open Sans"/>
                <w:bCs/>
                <w:szCs w:val="20"/>
              </w:rPr>
              <w:t>September 2021</w:t>
            </w:r>
          </w:p>
        </w:tc>
        <w:tc>
          <w:tcPr>
            <w:tcW w:w="8363" w:type="dxa"/>
          </w:tcPr>
          <w:p w14:paraId="07C563A4" w14:textId="77777777" w:rsidR="00223E97" w:rsidRPr="00223E97" w:rsidRDefault="00223E97" w:rsidP="00223E97">
            <w:pPr>
              <w:ind w:left="0"/>
              <w:rPr>
                <w:rFonts w:cs="Open Sans"/>
                <w:bCs/>
                <w:szCs w:val="20"/>
              </w:rPr>
            </w:pPr>
            <w:r w:rsidRPr="00223E97">
              <w:rPr>
                <w:rFonts w:cs="Open Sans"/>
                <w:b/>
                <w:szCs w:val="20"/>
              </w:rPr>
              <w:t>2</w:t>
            </w:r>
            <w:r w:rsidRPr="00223E97">
              <w:rPr>
                <w:rFonts w:cs="Open Sans"/>
                <w:b/>
                <w:szCs w:val="20"/>
                <w:vertAlign w:val="superscript"/>
              </w:rPr>
              <w:t xml:space="preserve">nd </w:t>
            </w:r>
            <w:r w:rsidRPr="00223E97">
              <w:rPr>
                <w:rFonts w:cs="Open Sans"/>
                <w:b/>
                <w:szCs w:val="20"/>
              </w:rPr>
              <w:t>Wave T level delivery starts.</w:t>
            </w:r>
          </w:p>
        </w:tc>
      </w:tr>
      <w:tr w:rsidR="00223E97" w:rsidRPr="00223E97" w14:paraId="62341A92" w14:textId="77777777" w:rsidTr="00223E97">
        <w:tc>
          <w:tcPr>
            <w:tcW w:w="1560" w:type="dxa"/>
            <w:vMerge/>
          </w:tcPr>
          <w:p w14:paraId="30CDF56A" w14:textId="77777777" w:rsidR="00223E97" w:rsidRPr="00223E97" w:rsidRDefault="00223E97" w:rsidP="007C4B83">
            <w:pPr>
              <w:rPr>
                <w:rFonts w:cs="Open Sans"/>
                <w:bCs/>
                <w:szCs w:val="20"/>
              </w:rPr>
            </w:pPr>
          </w:p>
        </w:tc>
        <w:tc>
          <w:tcPr>
            <w:tcW w:w="8363" w:type="dxa"/>
          </w:tcPr>
          <w:p w14:paraId="684CB7CD" w14:textId="77777777" w:rsidR="00223E97" w:rsidRPr="00223E97" w:rsidRDefault="00223E97" w:rsidP="00223E97">
            <w:pPr>
              <w:ind w:left="0"/>
              <w:rPr>
                <w:rFonts w:cs="Open Sans"/>
                <w:bCs/>
                <w:szCs w:val="20"/>
              </w:rPr>
            </w:pPr>
            <w:r w:rsidRPr="00223E97">
              <w:rPr>
                <w:rFonts w:cs="Open Sans"/>
                <w:bCs/>
                <w:szCs w:val="20"/>
              </w:rPr>
              <w:t>67 providers.</w:t>
            </w:r>
          </w:p>
        </w:tc>
      </w:tr>
      <w:tr w:rsidR="00223E97" w:rsidRPr="00223E97" w14:paraId="6C4B720D" w14:textId="77777777" w:rsidTr="00223E97">
        <w:tc>
          <w:tcPr>
            <w:tcW w:w="1560" w:type="dxa"/>
            <w:vMerge/>
          </w:tcPr>
          <w:p w14:paraId="03EC50D9" w14:textId="77777777" w:rsidR="00223E97" w:rsidRPr="00223E97" w:rsidRDefault="00223E97" w:rsidP="007C4B83">
            <w:pPr>
              <w:rPr>
                <w:rFonts w:cs="Open Sans"/>
                <w:bCs/>
                <w:szCs w:val="20"/>
              </w:rPr>
            </w:pPr>
          </w:p>
        </w:tc>
        <w:tc>
          <w:tcPr>
            <w:tcW w:w="8363" w:type="dxa"/>
          </w:tcPr>
          <w:p w14:paraId="1BE64756" w14:textId="77777777" w:rsidR="00223E97" w:rsidRPr="00223E97" w:rsidRDefault="00223E97" w:rsidP="00223E97">
            <w:pPr>
              <w:ind w:left="0"/>
              <w:rPr>
                <w:rFonts w:cs="Open Sans"/>
                <w:bCs/>
                <w:szCs w:val="20"/>
              </w:rPr>
            </w:pPr>
            <w:r w:rsidRPr="00223E97">
              <w:rPr>
                <w:rFonts w:cs="Open Sans"/>
                <w:bCs/>
                <w:szCs w:val="20"/>
              </w:rPr>
              <w:t>+7 T levels (10 total).</w:t>
            </w:r>
          </w:p>
        </w:tc>
      </w:tr>
      <w:tr w:rsidR="00223E97" w:rsidRPr="00223E97" w14:paraId="51A23065" w14:textId="77777777" w:rsidTr="00223E97">
        <w:tc>
          <w:tcPr>
            <w:tcW w:w="1560" w:type="dxa"/>
          </w:tcPr>
          <w:p w14:paraId="25634553" w14:textId="77777777" w:rsidR="00223E97" w:rsidRPr="00223E97" w:rsidRDefault="00223E97" w:rsidP="00223E97">
            <w:pPr>
              <w:ind w:left="0"/>
              <w:rPr>
                <w:rFonts w:cs="Open Sans"/>
                <w:bCs/>
                <w:szCs w:val="20"/>
              </w:rPr>
            </w:pPr>
            <w:r w:rsidRPr="00223E97">
              <w:rPr>
                <w:rFonts w:cs="Open Sans"/>
                <w:bCs/>
                <w:szCs w:val="20"/>
              </w:rPr>
              <w:t>17</w:t>
            </w:r>
            <w:r w:rsidRPr="00223E97">
              <w:rPr>
                <w:rFonts w:cs="Open Sans"/>
                <w:bCs/>
                <w:szCs w:val="20"/>
                <w:vertAlign w:val="superscript"/>
              </w:rPr>
              <w:t>th</w:t>
            </w:r>
            <w:r w:rsidRPr="00223E97">
              <w:rPr>
                <w:rFonts w:cs="Open Sans"/>
                <w:bCs/>
                <w:szCs w:val="20"/>
              </w:rPr>
              <w:t xml:space="preserve"> September</w:t>
            </w:r>
          </w:p>
        </w:tc>
        <w:tc>
          <w:tcPr>
            <w:tcW w:w="8363" w:type="dxa"/>
          </w:tcPr>
          <w:p w14:paraId="6C674A81" w14:textId="77777777" w:rsidR="00223E97" w:rsidRPr="00223E97" w:rsidRDefault="00223E97" w:rsidP="00223E97">
            <w:pPr>
              <w:ind w:left="0"/>
              <w:rPr>
                <w:rFonts w:cs="Open Sans"/>
                <w:bCs/>
                <w:szCs w:val="20"/>
              </w:rPr>
            </w:pPr>
            <w:r w:rsidRPr="00223E97">
              <w:rPr>
                <w:rFonts w:cs="Open Sans"/>
                <w:b/>
                <w:color w:val="0070C0"/>
                <w:szCs w:val="20"/>
              </w:rPr>
              <w:t>Cycle 2 HTQs</w:t>
            </w:r>
            <w:r w:rsidRPr="00223E97">
              <w:rPr>
                <w:rFonts w:cs="Open Sans"/>
                <w:bCs/>
                <w:szCs w:val="20"/>
              </w:rPr>
              <w:t xml:space="preserve"> approvals window </w:t>
            </w:r>
            <w:r w:rsidRPr="00223E97">
              <w:rPr>
                <w:rFonts w:cs="Open Sans"/>
                <w:b/>
                <w:szCs w:val="20"/>
              </w:rPr>
              <w:t>closes</w:t>
            </w:r>
            <w:r w:rsidRPr="00223E97">
              <w:rPr>
                <w:rFonts w:cs="Open Sans"/>
                <w:bCs/>
                <w:szCs w:val="20"/>
              </w:rPr>
              <w:t xml:space="preserve"> for Standard Submissions.</w:t>
            </w:r>
          </w:p>
        </w:tc>
      </w:tr>
      <w:tr w:rsidR="00223E97" w:rsidRPr="00223E97" w14:paraId="0F6588AC" w14:textId="77777777" w:rsidTr="00223E97">
        <w:tc>
          <w:tcPr>
            <w:tcW w:w="1560" w:type="dxa"/>
          </w:tcPr>
          <w:p w14:paraId="56278482" w14:textId="77777777" w:rsidR="00223E97" w:rsidRPr="00223E97" w:rsidRDefault="00223E97" w:rsidP="00223E97">
            <w:pPr>
              <w:ind w:left="0"/>
              <w:rPr>
                <w:rFonts w:cs="Open Sans"/>
                <w:bCs/>
                <w:szCs w:val="20"/>
              </w:rPr>
            </w:pPr>
            <w:r w:rsidRPr="00223E97">
              <w:rPr>
                <w:rFonts w:cs="Open Sans"/>
                <w:bCs/>
                <w:szCs w:val="20"/>
              </w:rPr>
              <w:t>Autumn/Winter 2021</w:t>
            </w:r>
          </w:p>
        </w:tc>
        <w:tc>
          <w:tcPr>
            <w:tcW w:w="8363" w:type="dxa"/>
          </w:tcPr>
          <w:p w14:paraId="451345B2" w14:textId="77777777" w:rsidR="00223E97" w:rsidRPr="00223E97" w:rsidRDefault="00223E97" w:rsidP="00223E97">
            <w:pPr>
              <w:ind w:left="0"/>
              <w:rPr>
                <w:rFonts w:cs="Open Sans"/>
                <w:bCs/>
                <w:szCs w:val="20"/>
              </w:rPr>
            </w:pPr>
            <w:r w:rsidRPr="00223E97">
              <w:rPr>
                <w:rFonts w:cs="Open Sans"/>
                <w:b/>
                <w:color w:val="FF0000"/>
                <w:szCs w:val="20"/>
              </w:rPr>
              <w:t>Launch of national HTQ campaign</w:t>
            </w:r>
            <w:r w:rsidRPr="00223E97">
              <w:rPr>
                <w:rFonts w:cs="Open Sans"/>
                <w:bCs/>
                <w:color w:val="FF0000"/>
                <w:szCs w:val="20"/>
              </w:rPr>
              <w:t xml:space="preserve"> aimed at raising awareness and promoting approved qualifications.</w:t>
            </w:r>
          </w:p>
        </w:tc>
      </w:tr>
      <w:tr w:rsidR="00223E97" w:rsidRPr="00223E97" w14:paraId="5FD2F0F8" w14:textId="77777777" w:rsidTr="00223E97">
        <w:tc>
          <w:tcPr>
            <w:tcW w:w="1560" w:type="dxa"/>
            <w:vMerge w:val="restart"/>
          </w:tcPr>
          <w:p w14:paraId="4538DB24" w14:textId="77777777" w:rsidR="00223E97" w:rsidRPr="00223E97" w:rsidRDefault="00223E97" w:rsidP="00223E97">
            <w:pPr>
              <w:ind w:left="0"/>
              <w:rPr>
                <w:rFonts w:cs="Open Sans"/>
                <w:bCs/>
                <w:szCs w:val="20"/>
              </w:rPr>
            </w:pPr>
            <w:r w:rsidRPr="00223E97">
              <w:rPr>
                <w:rFonts w:cs="Open Sans"/>
                <w:bCs/>
                <w:szCs w:val="20"/>
              </w:rPr>
              <w:t>September 2022</w:t>
            </w:r>
          </w:p>
        </w:tc>
        <w:tc>
          <w:tcPr>
            <w:tcW w:w="8363" w:type="dxa"/>
          </w:tcPr>
          <w:p w14:paraId="313BD7CF" w14:textId="77777777" w:rsidR="00223E97" w:rsidRPr="00223E97" w:rsidRDefault="00223E97" w:rsidP="00223E97">
            <w:pPr>
              <w:ind w:left="0"/>
              <w:rPr>
                <w:rFonts w:cs="Open Sans"/>
                <w:bCs/>
                <w:szCs w:val="20"/>
              </w:rPr>
            </w:pPr>
            <w:r w:rsidRPr="00223E97">
              <w:rPr>
                <w:rFonts w:cs="Open Sans"/>
                <w:b/>
                <w:szCs w:val="20"/>
              </w:rPr>
              <w:t>3</w:t>
            </w:r>
            <w:r w:rsidRPr="00223E97">
              <w:rPr>
                <w:rFonts w:cs="Open Sans"/>
                <w:b/>
                <w:szCs w:val="20"/>
                <w:vertAlign w:val="superscript"/>
              </w:rPr>
              <w:t>rd</w:t>
            </w:r>
            <w:r w:rsidRPr="00223E97">
              <w:rPr>
                <w:rFonts w:cs="Open Sans"/>
                <w:b/>
                <w:szCs w:val="20"/>
              </w:rPr>
              <w:t xml:space="preserve"> Wave T level delivery</w:t>
            </w:r>
            <w:r w:rsidRPr="00223E97">
              <w:rPr>
                <w:rFonts w:cs="Open Sans"/>
                <w:bCs/>
                <w:szCs w:val="20"/>
              </w:rPr>
              <w:t xml:space="preserve"> </w:t>
            </w:r>
            <w:r w:rsidRPr="00223E97">
              <w:rPr>
                <w:rFonts w:cs="Open Sans"/>
                <w:b/>
                <w:szCs w:val="20"/>
              </w:rPr>
              <w:t>starts.</w:t>
            </w:r>
          </w:p>
        </w:tc>
      </w:tr>
      <w:tr w:rsidR="00223E97" w:rsidRPr="00223E97" w14:paraId="07D00544" w14:textId="77777777" w:rsidTr="00223E97">
        <w:tc>
          <w:tcPr>
            <w:tcW w:w="1560" w:type="dxa"/>
            <w:vMerge/>
          </w:tcPr>
          <w:p w14:paraId="3A7352F4" w14:textId="77777777" w:rsidR="00223E97" w:rsidRPr="00223E97" w:rsidRDefault="00223E97" w:rsidP="007C4B83">
            <w:pPr>
              <w:rPr>
                <w:rFonts w:cs="Open Sans"/>
                <w:bCs/>
                <w:szCs w:val="20"/>
              </w:rPr>
            </w:pPr>
          </w:p>
        </w:tc>
        <w:tc>
          <w:tcPr>
            <w:tcW w:w="8363" w:type="dxa"/>
          </w:tcPr>
          <w:p w14:paraId="754233F4" w14:textId="77777777" w:rsidR="00223E97" w:rsidRPr="00223E97" w:rsidRDefault="00223E97" w:rsidP="00223E97">
            <w:pPr>
              <w:ind w:left="0"/>
              <w:rPr>
                <w:rFonts w:cs="Open Sans"/>
                <w:bCs/>
                <w:szCs w:val="20"/>
              </w:rPr>
            </w:pPr>
            <w:r w:rsidRPr="00223E97">
              <w:rPr>
                <w:rFonts w:cs="Open Sans"/>
                <w:bCs/>
                <w:szCs w:val="20"/>
              </w:rPr>
              <w:t>88 providers.</w:t>
            </w:r>
          </w:p>
        </w:tc>
      </w:tr>
      <w:tr w:rsidR="00223E97" w:rsidRPr="00223E97" w14:paraId="133F2A6D" w14:textId="77777777" w:rsidTr="00223E97">
        <w:tc>
          <w:tcPr>
            <w:tcW w:w="1560" w:type="dxa"/>
            <w:vMerge/>
          </w:tcPr>
          <w:p w14:paraId="5266AB4A" w14:textId="77777777" w:rsidR="00223E97" w:rsidRPr="00223E97" w:rsidRDefault="00223E97" w:rsidP="007C4B83">
            <w:pPr>
              <w:rPr>
                <w:rFonts w:cs="Open Sans"/>
                <w:bCs/>
                <w:szCs w:val="20"/>
              </w:rPr>
            </w:pPr>
          </w:p>
        </w:tc>
        <w:tc>
          <w:tcPr>
            <w:tcW w:w="8363" w:type="dxa"/>
          </w:tcPr>
          <w:p w14:paraId="47C60874" w14:textId="77777777" w:rsidR="00223E97" w:rsidRPr="00223E97" w:rsidRDefault="00223E97" w:rsidP="00223E97">
            <w:pPr>
              <w:ind w:left="0"/>
              <w:rPr>
                <w:rFonts w:cs="Open Sans"/>
                <w:bCs/>
                <w:szCs w:val="20"/>
              </w:rPr>
            </w:pPr>
            <w:r w:rsidRPr="00223E97">
              <w:rPr>
                <w:rFonts w:cs="Open Sans"/>
                <w:bCs/>
                <w:szCs w:val="20"/>
              </w:rPr>
              <w:t>+6 T levels (16 total).</w:t>
            </w:r>
          </w:p>
        </w:tc>
      </w:tr>
      <w:tr w:rsidR="00223E97" w:rsidRPr="00223E97" w14:paraId="1208F905" w14:textId="77777777" w:rsidTr="00223E97">
        <w:tc>
          <w:tcPr>
            <w:tcW w:w="1560" w:type="dxa"/>
            <w:vMerge/>
          </w:tcPr>
          <w:p w14:paraId="794B5ABB" w14:textId="77777777" w:rsidR="00223E97" w:rsidRPr="00223E97" w:rsidRDefault="00223E97" w:rsidP="007C4B83">
            <w:pPr>
              <w:rPr>
                <w:rFonts w:cs="Open Sans"/>
                <w:bCs/>
                <w:szCs w:val="20"/>
              </w:rPr>
            </w:pPr>
          </w:p>
        </w:tc>
        <w:tc>
          <w:tcPr>
            <w:tcW w:w="8363" w:type="dxa"/>
          </w:tcPr>
          <w:p w14:paraId="5AE4AE8B" w14:textId="77777777" w:rsidR="00223E97" w:rsidRPr="00223E97" w:rsidRDefault="00223E97" w:rsidP="00223E97">
            <w:pPr>
              <w:ind w:left="0"/>
              <w:rPr>
                <w:rFonts w:cs="Open Sans"/>
                <w:bCs/>
                <w:szCs w:val="20"/>
              </w:rPr>
            </w:pPr>
            <w:r w:rsidRPr="00223E97">
              <w:rPr>
                <w:rFonts w:cs="Open Sans"/>
                <w:b/>
                <w:color w:val="FF0000"/>
                <w:szCs w:val="20"/>
              </w:rPr>
              <w:t>1</w:t>
            </w:r>
            <w:r w:rsidRPr="00223E97">
              <w:rPr>
                <w:rFonts w:cs="Open Sans"/>
                <w:b/>
                <w:color w:val="FF0000"/>
                <w:szCs w:val="20"/>
                <w:vertAlign w:val="superscript"/>
              </w:rPr>
              <w:t>st</w:t>
            </w:r>
            <w:r w:rsidRPr="00223E97">
              <w:rPr>
                <w:rFonts w:cs="Open Sans"/>
                <w:b/>
                <w:color w:val="FF0000"/>
                <w:szCs w:val="20"/>
              </w:rPr>
              <w:t xml:space="preserve"> teaching of digital HTQs</w:t>
            </w:r>
            <w:r w:rsidRPr="00223E97">
              <w:rPr>
                <w:rFonts w:cs="Open Sans"/>
                <w:bCs/>
                <w:color w:val="FF0000"/>
                <w:szCs w:val="20"/>
              </w:rPr>
              <w:t xml:space="preserve"> with the brand and </w:t>
            </w:r>
            <w:proofErr w:type="spellStart"/>
            <w:r w:rsidRPr="00223E97">
              <w:rPr>
                <w:rFonts w:cs="Open Sans"/>
                <w:bCs/>
                <w:color w:val="FF0000"/>
                <w:szCs w:val="20"/>
              </w:rPr>
              <w:t>IfATE</w:t>
            </w:r>
            <w:proofErr w:type="spellEnd"/>
            <w:r w:rsidRPr="00223E97">
              <w:rPr>
                <w:rFonts w:cs="Open Sans"/>
                <w:bCs/>
                <w:color w:val="FF0000"/>
                <w:szCs w:val="20"/>
              </w:rPr>
              <w:t xml:space="preserve"> quality mark.</w:t>
            </w:r>
          </w:p>
        </w:tc>
      </w:tr>
      <w:tr w:rsidR="00223E97" w:rsidRPr="00223E97" w14:paraId="6BE55951" w14:textId="77777777" w:rsidTr="00223E97">
        <w:tc>
          <w:tcPr>
            <w:tcW w:w="1560" w:type="dxa"/>
          </w:tcPr>
          <w:p w14:paraId="7D45E537" w14:textId="77777777" w:rsidR="00223E97" w:rsidRPr="00223E97" w:rsidRDefault="00223E97" w:rsidP="00223E97">
            <w:pPr>
              <w:ind w:left="0"/>
              <w:rPr>
                <w:rFonts w:cs="Open Sans"/>
                <w:bCs/>
                <w:szCs w:val="20"/>
              </w:rPr>
            </w:pPr>
            <w:r w:rsidRPr="00223E97">
              <w:rPr>
                <w:rFonts w:cs="Open Sans"/>
                <w:bCs/>
                <w:szCs w:val="20"/>
              </w:rPr>
              <w:t>1 August 2023</w:t>
            </w:r>
          </w:p>
        </w:tc>
        <w:tc>
          <w:tcPr>
            <w:tcW w:w="8363" w:type="dxa"/>
          </w:tcPr>
          <w:p w14:paraId="7D777C38" w14:textId="77777777" w:rsidR="00223E97" w:rsidRPr="00223E97" w:rsidRDefault="00223E97" w:rsidP="00223E97">
            <w:pPr>
              <w:ind w:left="0"/>
              <w:rPr>
                <w:rFonts w:cs="Open Sans"/>
                <w:bCs/>
                <w:szCs w:val="20"/>
              </w:rPr>
            </w:pPr>
            <w:r w:rsidRPr="00223E97">
              <w:rPr>
                <w:rFonts w:cs="Open Sans"/>
                <w:bCs/>
                <w:szCs w:val="20"/>
              </w:rPr>
              <w:t>Removal of funding approval for qualifications that overlap with T level 1</w:t>
            </w:r>
            <w:r w:rsidRPr="00223E97">
              <w:rPr>
                <w:rFonts w:cs="Open Sans"/>
                <w:bCs/>
                <w:szCs w:val="20"/>
                <w:vertAlign w:val="superscript"/>
              </w:rPr>
              <w:t>st</w:t>
            </w:r>
            <w:r w:rsidRPr="00223E97">
              <w:rPr>
                <w:rFonts w:cs="Open Sans"/>
                <w:bCs/>
                <w:szCs w:val="20"/>
              </w:rPr>
              <w:t xml:space="preserve"> Wave (2020 delivery) and 2</w:t>
            </w:r>
            <w:r w:rsidRPr="00223E97">
              <w:rPr>
                <w:rFonts w:cs="Open Sans"/>
                <w:bCs/>
                <w:szCs w:val="20"/>
                <w:vertAlign w:val="superscript"/>
              </w:rPr>
              <w:t>nd</w:t>
            </w:r>
            <w:r w:rsidRPr="00223E97">
              <w:rPr>
                <w:rFonts w:cs="Open Sans"/>
                <w:bCs/>
                <w:szCs w:val="20"/>
              </w:rPr>
              <w:t xml:space="preserve"> Wave (2021 delivery).</w:t>
            </w:r>
          </w:p>
        </w:tc>
      </w:tr>
      <w:tr w:rsidR="00223E97" w:rsidRPr="00223E97" w14:paraId="74D9F93C" w14:textId="77777777" w:rsidTr="00223E97">
        <w:tc>
          <w:tcPr>
            <w:tcW w:w="1560" w:type="dxa"/>
            <w:vMerge w:val="restart"/>
          </w:tcPr>
          <w:p w14:paraId="58A064B2" w14:textId="77777777" w:rsidR="00223E97" w:rsidRPr="00223E97" w:rsidRDefault="00223E97" w:rsidP="00223E97">
            <w:pPr>
              <w:ind w:left="0"/>
              <w:rPr>
                <w:rFonts w:cs="Open Sans"/>
                <w:bCs/>
                <w:szCs w:val="20"/>
              </w:rPr>
            </w:pPr>
            <w:r w:rsidRPr="00223E97">
              <w:rPr>
                <w:rFonts w:cs="Open Sans"/>
                <w:bCs/>
                <w:szCs w:val="20"/>
              </w:rPr>
              <w:t>September 2023</w:t>
            </w:r>
          </w:p>
        </w:tc>
        <w:tc>
          <w:tcPr>
            <w:tcW w:w="8363" w:type="dxa"/>
          </w:tcPr>
          <w:p w14:paraId="1C43ECA3" w14:textId="77777777" w:rsidR="00223E97" w:rsidRPr="00223E97" w:rsidRDefault="00223E97" w:rsidP="007C4B83">
            <w:pPr>
              <w:rPr>
                <w:rFonts w:cs="Open Sans"/>
                <w:b/>
                <w:szCs w:val="20"/>
              </w:rPr>
            </w:pPr>
            <w:r w:rsidRPr="00223E97">
              <w:rPr>
                <w:rFonts w:cs="Open Sans"/>
                <w:b/>
                <w:szCs w:val="20"/>
              </w:rPr>
              <w:t>4</w:t>
            </w:r>
            <w:r w:rsidRPr="00223E97">
              <w:rPr>
                <w:rFonts w:cs="Open Sans"/>
                <w:b/>
                <w:szCs w:val="20"/>
                <w:vertAlign w:val="superscript"/>
              </w:rPr>
              <w:t>th</w:t>
            </w:r>
            <w:r w:rsidRPr="00223E97">
              <w:rPr>
                <w:rFonts w:cs="Open Sans"/>
                <w:b/>
                <w:szCs w:val="20"/>
              </w:rPr>
              <w:t xml:space="preserve"> Wave T level delivery starts.</w:t>
            </w:r>
          </w:p>
        </w:tc>
      </w:tr>
      <w:tr w:rsidR="00223E97" w:rsidRPr="00223E97" w14:paraId="0043A3AF" w14:textId="77777777" w:rsidTr="00223E97">
        <w:tc>
          <w:tcPr>
            <w:tcW w:w="1560" w:type="dxa"/>
            <w:vMerge/>
          </w:tcPr>
          <w:p w14:paraId="693B72B3" w14:textId="77777777" w:rsidR="00223E97" w:rsidRPr="00223E97" w:rsidRDefault="00223E97" w:rsidP="007C4B83">
            <w:pPr>
              <w:rPr>
                <w:rFonts w:cs="Open Sans"/>
                <w:bCs/>
                <w:szCs w:val="20"/>
              </w:rPr>
            </w:pPr>
          </w:p>
        </w:tc>
        <w:tc>
          <w:tcPr>
            <w:tcW w:w="8363" w:type="dxa"/>
          </w:tcPr>
          <w:p w14:paraId="28AC1944" w14:textId="77777777" w:rsidR="00223E97" w:rsidRPr="00223E97" w:rsidRDefault="00223E97" w:rsidP="00223E97">
            <w:pPr>
              <w:pStyle w:val="ListParagraph"/>
              <w:numPr>
                <w:ilvl w:val="0"/>
                <w:numId w:val="8"/>
              </w:numPr>
              <w:spacing w:before="2" w:after="2"/>
              <w:rPr>
                <w:rFonts w:ascii="Open Sans" w:hAnsi="Open Sans" w:cs="Open Sans"/>
                <w:bCs/>
                <w:sz w:val="20"/>
                <w:szCs w:val="20"/>
              </w:rPr>
            </w:pPr>
            <w:r w:rsidRPr="00223E97">
              <w:rPr>
                <w:rFonts w:ascii="Open Sans" w:hAnsi="Open Sans" w:cs="Open Sans"/>
                <w:bCs/>
                <w:sz w:val="20"/>
                <w:szCs w:val="20"/>
              </w:rPr>
              <w:t>T Levels that were introduced in 2020 and 2021 to be delivered by any provider delivering 16 to 19 study programmes.</w:t>
            </w:r>
          </w:p>
          <w:p w14:paraId="6D52102E" w14:textId="77777777" w:rsidR="00223E97" w:rsidRPr="00223E97" w:rsidRDefault="00223E97" w:rsidP="00223E97">
            <w:pPr>
              <w:pStyle w:val="ListParagraph"/>
              <w:numPr>
                <w:ilvl w:val="0"/>
                <w:numId w:val="8"/>
              </w:numPr>
              <w:spacing w:before="2" w:after="2"/>
              <w:rPr>
                <w:rFonts w:ascii="Open Sans" w:hAnsi="Open Sans" w:cs="Open Sans"/>
                <w:bCs/>
                <w:sz w:val="20"/>
                <w:szCs w:val="20"/>
              </w:rPr>
            </w:pPr>
            <w:r w:rsidRPr="00223E97">
              <w:rPr>
                <w:rFonts w:ascii="Open Sans" w:hAnsi="Open Sans" w:cs="Open Sans"/>
                <w:bCs/>
                <w:sz w:val="20"/>
                <w:szCs w:val="20"/>
              </w:rPr>
              <w:t xml:space="preserve">T Levels introduced in 2022 and 2023 to be delivered by Ofsted </w:t>
            </w:r>
            <w:r w:rsidRPr="00223E97">
              <w:rPr>
                <w:rFonts w:ascii="Open Sans" w:hAnsi="Open Sans" w:cs="Open Sans"/>
                <w:bCs/>
                <w:i/>
                <w:iCs/>
                <w:sz w:val="20"/>
                <w:szCs w:val="20"/>
              </w:rPr>
              <w:t>Good</w:t>
            </w:r>
            <w:r w:rsidRPr="00223E97">
              <w:rPr>
                <w:rFonts w:ascii="Open Sans" w:hAnsi="Open Sans" w:cs="Open Sans"/>
                <w:bCs/>
                <w:sz w:val="20"/>
                <w:szCs w:val="20"/>
              </w:rPr>
              <w:t xml:space="preserve"> and </w:t>
            </w:r>
            <w:r w:rsidRPr="00223E97">
              <w:rPr>
                <w:rFonts w:ascii="Open Sans" w:hAnsi="Open Sans" w:cs="Open Sans"/>
                <w:bCs/>
                <w:i/>
                <w:iCs/>
                <w:sz w:val="20"/>
                <w:szCs w:val="20"/>
              </w:rPr>
              <w:t>Outstanding</w:t>
            </w:r>
            <w:r w:rsidRPr="00223E97">
              <w:rPr>
                <w:rFonts w:ascii="Open Sans" w:hAnsi="Open Sans" w:cs="Open Sans"/>
                <w:bCs/>
                <w:sz w:val="20"/>
                <w:szCs w:val="20"/>
              </w:rPr>
              <w:t xml:space="preserve"> providers only.</w:t>
            </w:r>
          </w:p>
        </w:tc>
      </w:tr>
      <w:tr w:rsidR="00223E97" w:rsidRPr="00223E97" w14:paraId="496AFDD0" w14:textId="77777777" w:rsidTr="00223E97">
        <w:tc>
          <w:tcPr>
            <w:tcW w:w="1560" w:type="dxa"/>
            <w:vMerge/>
          </w:tcPr>
          <w:p w14:paraId="3DEB2480" w14:textId="77777777" w:rsidR="00223E97" w:rsidRPr="00223E97" w:rsidRDefault="00223E97" w:rsidP="007C4B83">
            <w:pPr>
              <w:rPr>
                <w:rFonts w:cs="Open Sans"/>
                <w:bCs/>
                <w:szCs w:val="20"/>
              </w:rPr>
            </w:pPr>
          </w:p>
        </w:tc>
        <w:tc>
          <w:tcPr>
            <w:tcW w:w="8363" w:type="dxa"/>
          </w:tcPr>
          <w:p w14:paraId="00E417A0" w14:textId="77777777" w:rsidR="00223E97" w:rsidRPr="00223E97" w:rsidRDefault="00223E97" w:rsidP="00223E97">
            <w:pPr>
              <w:ind w:left="0"/>
              <w:rPr>
                <w:rFonts w:cs="Open Sans"/>
                <w:bCs/>
                <w:szCs w:val="20"/>
              </w:rPr>
            </w:pPr>
            <w:r w:rsidRPr="00223E97">
              <w:rPr>
                <w:rFonts w:cs="Open Sans"/>
                <w:bCs/>
                <w:szCs w:val="20"/>
              </w:rPr>
              <w:t>+8 T levels.</w:t>
            </w:r>
          </w:p>
        </w:tc>
      </w:tr>
      <w:tr w:rsidR="00223E97" w:rsidRPr="00223E97" w14:paraId="59B5659F" w14:textId="77777777" w:rsidTr="00223E97">
        <w:tc>
          <w:tcPr>
            <w:tcW w:w="1560" w:type="dxa"/>
            <w:vMerge/>
          </w:tcPr>
          <w:p w14:paraId="2897E03E" w14:textId="77777777" w:rsidR="00223E97" w:rsidRPr="00223E97" w:rsidRDefault="00223E97" w:rsidP="007C4B83">
            <w:pPr>
              <w:rPr>
                <w:rFonts w:cs="Open Sans"/>
                <w:bCs/>
                <w:szCs w:val="20"/>
              </w:rPr>
            </w:pPr>
          </w:p>
        </w:tc>
        <w:tc>
          <w:tcPr>
            <w:tcW w:w="8363" w:type="dxa"/>
          </w:tcPr>
          <w:p w14:paraId="65827AFF" w14:textId="77777777" w:rsidR="00223E97" w:rsidRPr="00223E97" w:rsidRDefault="00223E97" w:rsidP="00223E97">
            <w:pPr>
              <w:ind w:left="0"/>
              <w:rPr>
                <w:rFonts w:cs="Open Sans"/>
                <w:b/>
                <w:bCs/>
                <w:szCs w:val="20"/>
              </w:rPr>
            </w:pPr>
            <w:r w:rsidRPr="00223E97">
              <w:rPr>
                <w:rFonts w:cs="Open Sans"/>
                <w:b/>
                <w:bCs/>
                <w:szCs w:val="20"/>
              </w:rPr>
              <w:t>24 T Levels in total.</w:t>
            </w:r>
          </w:p>
        </w:tc>
      </w:tr>
      <w:tr w:rsidR="00223E97" w:rsidRPr="00223E97" w14:paraId="38BAA080" w14:textId="77777777" w:rsidTr="00223E97">
        <w:tc>
          <w:tcPr>
            <w:tcW w:w="1560" w:type="dxa"/>
          </w:tcPr>
          <w:p w14:paraId="1F086E90" w14:textId="77777777" w:rsidR="00223E97" w:rsidRPr="00223E97" w:rsidRDefault="00223E97" w:rsidP="00223E97">
            <w:pPr>
              <w:ind w:left="0"/>
              <w:rPr>
                <w:rFonts w:cs="Open Sans"/>
                <w:bCs/>
                <w:szCs w:val="20"/>
              </w:rPr>
            </w:pPr>
            <w:r w:rsidRPr="00223E97">
              <w:rPr>
                <w:rFonts w:cs="Open Sans"/>
                <w:bCs/>
                <w:szCs w:val="20"/>
              </w:rPr>
              <w:t>1 August 2024</w:t>
            </w:r>
          </w:p>
        </w:tc>
        <w:tc>
          <w:tcPr>
            <w:tcW w:w="8363" w:type="dxa"/>
          </w:tcPr>
          <w:p w14:paraId="21865013" w14:textId="77777777" w:rsidR="00223E97" w:rsidRPr="00223E97" w:rsidRDefault="00223E97" w:rsidP="00223E97">
            <w:pPr>
              <w:ind w:left="0"/>
              <w:rPr>
                <w:rFonts w:cs="Open Sans"/>
                <w:bCs/>
                <w:szCs w:val="20"/>
              </w:rPr>
            </w:pPr>
            <w:r w:rsidRPr="00223E97">
              <w:rPr>
                <w:rFonts w:cs="Open Sans"/>
                <w:szCs w:val="20"/>
              </w:rPr>
              <w:t>Removal of funding approval for qualifications that overlap with T level 3</w:t>
            </w:r>
            <w:r w:rsidRPr="00223E97">
              <w:rPr>
                <w:rFonts w:cs="Open Sans"/>
                <w:szCs w:val="20"/>
                <w:vertAlign w:val="superscript"/>
              </w:rPr>
              <w:t>rd</w:t>
            </w:r>
            <w:r w:rsidRPr="00223E97">
              <w:rPr>
                <w:rFonts w:cs="Open Sans"/>
                <w:szCs w:val="20"/>
              </w:rPr>
              <w:t xml:space="preserve"> Wave (2022 delivery) and 4</w:t>
            </w:r>
            <w:r w:rsidRPr="00223E97">
              <w:rPr>
                <w:rFonts w:cs="Open Sans"/>
                <w:szCs w:val="20"/>
                <w:vertAlign w:val="superscript"/>
              </w:rPr>
              <w:t xml:space="preserve">th </w:t>
            </w:r>
            <w:r w:rsidRPr="00223E97">
              <w:rPr>
                <w:rFonts w:cs="Open Sans"/>
                <w:szCs w:val="20"/>
              </w:rPr>
              <w:t>Wave (2023 onwards).</w:t>
            </w:r>
          </w:p>
        </w:tc>
      </w:tr>
      <w:tr w:rsidR="00223E97" w:rsidRPr="00223E97" w14:paraId="61564CA5" w14:textId="77777777" w:rsidTr="00223E97">
        <w:tc>
          <w:tcPr>
            <w:tcW w:w="1560" w:type="dxa"/>
          </w:tcPr>
          <w:p w14:paraId="6AAC1FCB" w14:textId="77777777" w:rsidR="00223E97" w:rsidRPr="00223E97" w:rsidRDefault="00223E97" w:rsidP="00223E97">
            <w:pPr>
              <w:ind w:left="0"/>
              <w:rPr>
                <w:rFonts w:cs="Open Sans"/>
                <w:bCs/>
                <w:szCs w:val="20"/>
              </w:rPr>
            </w:pPr>
            <w:r w:rsidRPr="00223E97">
              <w:rPr>
                <w:rFonts w:cs="Open Sans"/>
                <w:bCs/>
                <w:szCs w:val="20"/>
              </w:rPr>
              <w:t>September 2024</w:t>
            </w:r>
          </w:p>
        </w:tc>
        <w:tc>
          <w:tcPr>
            <w:tcW w:w="8363" w:type="dxa"/>
          </w:tcPr>
          <w:p w14:paraId="684CB205" w14:textId="77777777" w:rsidR="00223E97" w:rsidRPr="00223E97" w:rsidRDefault="00223E97" w:rsidP="00223E97">
            <w:pPr>
              <w:ind w:left="0"/>
              <w:rPr>
                <w:rFonts w:cs="Open Sans"/>
                <w:szCs w:val="20"/>
              </w:rPr>
            </w:pPr>
            <w:r w:rsidRPr="00223E97">
              <w:rPr>
                <w:rFonts w:cs="Open Sans"/>
                <w:b/>
                <w:bCs/>
                <w:szCs w:val="20"/>
              </w:rPr>
              <w:t>Full national roll out of</w:t>
            </w:r>
            <w:r w:rsidRPr="00223E97">
              <w:rPr>
                <w:rFonts w:cs="Open Sans"/>
                <w:szCs w:val="20"/>
              </w:rPr>
              <w:t xml:space="preserve"> </w:t>
            </w:r>
            <w:r w:rsidRPr="00223E97">
              <w:rPr>
                <w:rFonts w:cs="Open Sans"/>
                <w:b/>
                <w:bCs/>
                <w:szCs w:val="20"/>
              </w:rPr>
              <w:t xml:space="preserve">T Levels: </w:t>
            </w:r>
            <w:r w:rsidRPr="00223E97">
              <w:rPr>
                <w:rFonts w:cs="Open Sans"/>
                <w:szCs w:val="20"/>
              </w:rPr>
              <w:t>available to be delivered by all providers delivering 16 to 19 study programmes.</w:t>
            </w:r>
          </w:p>
        </w:tc>
      </w:tr>
      <w:tr w:rsidR="00223E97" w:rsidRPr="00223E97" w14:paraId="50F56636" w14:textId="77777777" w:rsidTr="00223E97">
        <w:tc>
          <w:tcPr>
            <w:tcW w:w="1560" w:type="dxa"/>
          </w:tcPr>
          <w:p w14:paraId="46C7462F" w14:textId="77777777" w:rsidR="00223E97" w:rsidRPr="00223E97" w:rsidRDefault="00223E97" w:rsidP="00223E97">
            <w:pPr>
              <w:ind w:left="0"/>
              <w:rPr>
                <w:rFonts w:cs="Open Sans"/>
                <w:bCs/>
                <w:szCs w:val="20"/>
              </w:rPr>
            </w:pPr>
            <w:r w:rsidRPr="00223E97">
              <w:rPr>
                <w:rFonts w:cs="Open Sans"/>
                <w:bCs/>
                <w:szCs w:val="20"/>
              </w:rPr>
              <w:t>2024</w:t>
            </w:r>
          </w:p>
        </w:tc>
        <w:tc>
          <w:tcPr>
            <w:tcW w:w="8363" w:type="dxa"/>
          </w:tcPr>
          <w:p w14:paraId="65DC56A8" w14:textId="77777777" w:rsidR="00223E97" w:rsidRPr="00223E97" w:rsidRDefault="00223E97" w:rsidP="00223E97">
            <w:pPr>
              <w:ind w:left="0"/>
              <w:rPr>
                <w:rFonts w:cs="Open Sans"/>
                <w:b/>
                <w:bCs/>
                <w:szCs w:val="20"/>
              </w:rPr>
            </w:pPr>
            <w:r w:rsidRPr="00223E97">
              <w:rPr>
                <w:rFonts w:cs="Open Sans"/>
                <w:b/>
                <w:bCs/>
                <w:szCs w:val="20"/>
              </w:rPr>
              <w:t>LLE secondary legislation.</w:t>
            </w:r>
          </w:p>
        </w:tc>
      </w:tr>
      <w:tr w:rsidR="00223E97" w:rsidRPr="00223E97" w14:paraId="7C3A3655" w14:textId="77777777" w:rsidTr="00223E97">
        <w:tc>
          <w:tcPr>
            <w:tcW w:w="1560" w:type="dxa"/>
          </w:tcPr>
          <w:p w14:paraId="715F1722" w14:textId="77777777" w:rsidR="00223E97" w:rsidRPr="00223E97" w:rsidRDefault="00223E97" w:rsidP="00223E97">
            <w:pPr>
              <w:ind w:left="0"/>
              <w:rPr>
                <w:rFonts w:cs="Open Sans"/>
                <w:bCs/>
                <w:szCs w:val="20"/>
              </w:rPr>
            </w:pPr>
            <w:r w:rsidRPr="00223E97">
              <w:rPr>
                <w:rFonts w:cs="Open Sans"/>
                <w:bCs/>
                <w:szCs w:val="20"/>
              </w:rPr>
              <w:t>2025</w:t>
            </w:r>
          </w:p>
        </w:tc>
        <w:tc>
          <w:tcPr>
            <w:tcW w:w="8363" w:type="dxa"/>
          </w:tcPr>
          <w:p w14:paraId="6807544F" w14:textId="77777777" w:rsidR="00223E97" w:rsidRPr="00223E97" w:rsidRDefault="00223E97" w:rsidP="00223E97">
            <w:pPr>
              <w:ind w:left="0"/>
              <w:rPr>
                <w:rFonts w:cs="Open Sans"/>
                <w:b/>
                <w:bCs/>
                <w:szCs w:val="20"/>
              </w:rPr>
            </w:pPr>
            <w:r w:rsidRPr="00223E97">
              <w:rPr>
                <w:rFonts w:cs="Open Sans"/>
                <w:b/>
                <w:bCs/>
                <w:szCs w:val="20"/>
              </w:rPr>
              <w:t>LLE introduced.</w:t>
            </w:r>
          </w:p>
        </w:tc>
      </w:tr>
    </w:tbl>
    <w:p w14:paraId="3EDA6441" w14:textId="05D7D92A" w:rsidR="00B261A6" w:rsidRPr="00223E97" w:rsidRDefault="00B261A6" w:rsidP="00223E97">
      <w:pPr>
        <w:ind w:left="0"/>
        <w:rPr>
          <w:szCs w:val="20"/>
        </w:rPr>
      </w:pPr>
    </w:p>
    <w:p w14:paraId="5B44D7F8" w14:textId="4C22FFAB" w:rsidR="00B261A6" w:rsidRPr="002E4D53" w:rsidRDefault="00B261A6" w:rsidP="00440583">
      <w:pPr>
        <w:pStyle w:val="UVAC-Bodycopy"/>
        <w:numPr>
          <w:ilvl w:val="0"/>
          <w:numId w:val="3"/>
        </w:numPr>
        <w:rPr>
          <w:rFonts w:ascii="Catamaran" w:hAnsi="Catamaran" w:cs="Catamaran"/>
          <w:b/>
          <w:sz w:val="28"/>
          <w:szCs w:val="28"/>
        </w:rPr>
      </w:pPr>
      <w:r w:rsidRPr="002E4D53">
        <w:rPr>
          <w:rFonts w:ascii="Catamaran" w:hAnsi="Catamaran" w:cs="Catamaran"/>
          <w:b/>
          <w:sz w:val="28"/>
          <w:szCs w:val="28"/>
        </w:rPr>
        <w:t xml:space="preserve">How </w:t>
      </w:r>
      <w:r w:rsidR="00223E97">
        <w:rPr>
          <w:rFonts w:ascii="Catamaran" w:hAnsi="Catamaran" w:cs="Catamaran"/>
          <w:b/>
          <w:sz w:val="28"/>
          <w:szCs w:val="28"/>
        </w:rPr>
        <w:t>can Universities Engage in the THE/HTQ Agenda</w:t>
      </w:r>
      <w:r w:rsidRPr="002E4D53">
        <w:rPr>
          <w:rFonts w:ascii="Catamaran" w:hAnsi="Catamaran" w:cs="Catamaran"/>
          <w:b/>
          <w:sz w:val="28"/>
          <w:szCs w:val="28"/>
        </w:rPr>
        <w:t>?</w:t>
      </w:r>
    </w:p>
    <w:p w14:paraId="4CCD5A2A" w14:textId="77777777" w:rsidR="00223E97" w:rsidRPr="00223E97" w:rsidRDefault="00223E97" w:rsidP="00223E97">
      <w:pPr>
        <w:ind w:left="1276"/>
        <w:rPr>
          <w:rFonts w:cs="Open Sans"/>
          <w:color w:val="101820"/>
          <w:szCs w:val="20"/>
        </w:rPr>
      </w:pPr>
      <w:r w:rsidRPr="00223E97">
        <w:rPr>
          <w:rFonts w:cs="Open Sans"/>
          <w:color w:val="101820"/>
          <w:szCs w:val="20"/>
        </w:rPr>
        <w:t xml:space="preserve">Universities need to apply for the qualifications they award and deliver to be quality marked as an HTQ.  The </w:t>
      </w:r>
      <w:proofErr w:type="spellStart"/>
      <w:r w:rsidRPr="00223E97">
        <w:rPr>
          <w:rFonts w:cs="Open Sans"/>
          <w:color w:val="101820"/>
          <w:szCs w:val="20"/>
        </w:rPr>
        <w:t>IfATE</w:t>
      </w:r>
      <w:proofErr w:type="spellEnd"/>
      <w:r w:rsidRPr="00223E97">
        <w:rPr>
          <w:rFonts w:cs="Open Sans"/>
          <w:color w:val="101820"/>
          <w:szCs w:val="20"/>
        </w:rPr>
        <w:t xml:space="preserve"> has a rolling programme with openings for applications.  </w:t>
      </w:r>
    </w:p>
    <w:p w14:paraId="7D08D765" w14:textId="77777777" w:rsidR="00223E97" w:rsidRPr="00223E97" w:rsidRDefault="00223E97" w:rsidP="00223E97">
      <w:pPr>
        <w:ind w:left="1276"/>
        <w:rPr>
          <w:rFonts w:cs="Open Sans"/>
          <w:color w:val="101820"/>
          <w:szCs w:val="20"/>
        </w:rPr>
      </w:pPr>
    </w:p>
    <w:p w14:paraId="573C2B3C" w14:textId="77777777" w:rsidR="00223E97" w:rsidRPr="00223E97" w:rsidRDefault="00223E97" w:rsidP="00223E97">
      <w:pPr>
        <w:ind w:left="1276"/>
        <w:rPr>
          <w:rFonts w:cs="Open Sans"/>
          <w:color w:val="101820"/>
          <w:szCs w:val="20"/>
        </w:rPr>
      </w:pPr>
      <w:r w:rsidRPr="00223E97">
        <w:rPr>
          <w:rFonts w:cs="Open Sans"/>
          <w:color w:val="101820"/>
          <w:szCs w:val="20"/>
        </w:rPr>
        <w:t xml:space="preserve">Universities will need to ensure a prospective qualification meets the </w:t>
      </w:r>
      <w:proofErr w:type="spellStart"/>
      <w:r w:rsidRPr="00223E97">
        <w:rPr>
          <w:rFonts w:cs="Open Sans"/>
          <w:color w:val="101820"/>
          <w:szCs w:val="20"/>
        </w:rPr>
        <w:t>IfATE</w:t>
      </w:r>
      <w:proofErr w:type="spellEnd"/>
      <w:r w:rsidRPr="00223E97">
        <w:rPr>
          <w:rFonts w:cs="Open Sans"/>
          <w:color w:val="101820"/>
          <w:szCs w:val="20"/>
        </w:rPr>
        <w:t xml:space="preserve"> criteria. For example, for the second phase of the construction route and health &amp; science route, where once the criterion was a 60% minimum map to the occupational standard in the first submission for digital, now the </w:t>
      </w:r>
      <w:proofErr w:type="spellStart"/>
      <w:r w:rsidRPr="00223E97">
        <w:rPr>
          <w:rFonts w:cs="Open Sans"/>
          <w:color w:val="101820"/>
          <w:szCs w:val="20"/>
        </w:rPr>
        <w:t>IfATE</w:t>
      </w:r>
      <w:proofErr w:type="spellEnd"/>
      <w:r w:rsidRPr="00223E97">
        <w:rPr>
          <w:rFonts w:cs="Open Sans"/>
          <w:color w:val="101820"/>
          <w:szCs w:val="20"/>
        </w:rPr>
        <w:t xml:space="preserve"> are stating they expect a 100% map to the knowledge, skills and behaviours (KSBs) that can be delivered in a classroom environment. This is challenging and for some Standards the reality will be that the 100% that can be delivered in a classroom is only 40% of the total KSBs. The differential cost of delivering in FE and HE is to be included in a report by HMT and DfE. DfE’s Lifelong Learning Entitlement Team are also looking at how HTQs can be modularised.</w:t>
      </w:r>
    </w:p>
    <w:p w14:paraId="3A538C37" w14:textId="77777777" w:rsidR="00223E97" w:rsidRPr="00223E97" w:rsidRDefault="00223E97" w:rsidP="00223E97">
      <w:pPr>
        <w:ind w:left="1276"/>
        <w:rPr>
          <w:rFonts w:cs="Open Sans"/>
          <w:color w:val="101820"/>
          <w:szCs w:val="20"/>
        </w:rPr>
      </w:pPr>
    </w:p>
    <w:p w14:paraId="3236F7A4" w14:textId="77777777" w:rsidR="00223E97" w:rsidRPr="00223E97" w:rsidRDefault="00223E97" w:rsidP="00223E97">
      <w:pPr>
        <w:ind w:left="1276"/>
        <w:rPr>
          <w:rFonts w:cs="Open Sans"/>
          <w:color w:val="101820"/>
          <w:szCs w:val="20"/>
        </w:rPr>
      </w:pPr>
      <w:r w:rsidRPr="00223E97">
        <w:rPr>
          <w:rFonts w:cs="Open Sans"/>
          <w:color w:val="101820"/>
          <w:szCs w:val="20"/>
        </w:rPr>
        <w:t>Additionally, universities need to carefully consider:</w:t>
      </w:r>
    </w:p>
    <w:p w14:paraId="01C72A5F" w14:textId="77777777" w:rsidR="00223E97" w:rsidRPr="00223E97" w:rsidRDefault="00223E97" w:rsidP="00223E97">
      <w:pPr>
        <w:ind w:left="1276"/>
        <w:rPr>
          <w:rFonts w:cs="Open Sans"/>
          <w:color w:val="101820"/>
          <w:szCs w:val="20"/>
        </w:rPr>
      </w:pPr>
    </w:p>
    <w:p w14:paraId="50B11F2E" w14:textId="5623336C" w:rsidR="00223E97" w:rsidRPr="00223E97" w:rsidRDefault="00223E97" w:rsidP="00223E97">
      <w:pPr>
        <w:pStyle w:val="ListParagraph"/>
        <w:numPr>
          <w:ilvl w:val="0"/>
          <w:numId w:val="9"/>
        </w:numPr>
        <w:rPr>
          <w:rFonts w:cs="Open Sans"/>
          <w:color w:val="101820"/>
          <w:szCs w:val="20"/>
        </w:rPr>
      </w:pPr>
      <w:r w:rsidRPr="00223E97">
        <w:rPr>
          <w:rFonts w:cs="Open Sans"/>
          <w:color w:val="101820"/>
          <w:szCs w:val="20"/>
        </w:rPr>
        <w:t>The employer and individual demand for the prospective HTQ and issues of scale</w:t>
      </w:r>
    </w:p>
    <w:p w14:paraId="3606090C" w14:textId="1F78A235" w:rsidR="00223E97" w:rsidRPr="00223E97" w:rsidRDefault="00223E97" w:rsidP="00223E97">
      <w:pPr>
        <w:pStyle w:val="ListParagraph"/>
        <w:numPr>
          <w:ilvl w:val="0"/>
          <w:numId w:val="9"/>
        </w:numPr>
        <w:rPr>
          <w:rFonts w:cs="Open Sans"/>
          <w:color w:val="101820"/>
          <w:szCs w:val="20"/>
        </w:rPr>
      </w:pPr>
      <w:r w:rsidRPr="00223E97">
        <w:rPr>
          <w:rFonts w:cs="Open Sans"/>
          <w:color w:val="101820"/>
          <w:szCs w:val="20"/>
        </w:rPr>
        <w:t>Other qualifications that could compete with an institution’s HTQs</w:t>
      </w:r>
    </w:p>
    <w:p w14:paraId="2095D9F8" w14:textId="71F39B46" w:rsidR="00223E97" w:rsidRPr="00223E97" w:rsidRDefault="00223E97" w:rsidP="00223E97">
      <w:pPr>
        <w:pStyle w:val="ListParagraph"/>
        <w:numPr>
          <w:ilvl w:val="0"/>
          <w:numId w:val="9"/>
        </w:numPr>
        <w:rPr>
          <w:rFonts w:cs="Open Sans"/>
          <w:color w:val="101820"/>
          <w:szCs w:val="20"/>
        </w:rPr>
      </w:pPr>
      <w:r w:rsidRPr="00223E97">
        <w:rPr>
          <w:rFonts w:cs="Open Sans"/>
          <w:color w:val="101820"/>
          <w:szCs w:val="20"/>
        </w:rPr>
        <w:t>How HTQs could support access and participation activities</w:t>
      </w:r>
    </w:p>
    <w:p w14:paraId="2FD7B2F2" w14:textId="2998CC55" w:rsidR="00223E97" w:rsidRPr="00223E97" w:rsidRDefault="00223E97" w:rsidP="00223E97">
      <w:pPr>
        <w:pStyle w:val="ListParagraph"/>
        <w:numPr>
          <w:ilvl w:val="0"/>
          <w:numId w:val="9"/>
        </w:numPr>
        <w:rPr>
          <w:rFonts w:cs="Open Sans"/>
          <w:color w:val="101820"/>
          <w:szCs w:val="20"/>
        </w:rPr>
      </w:pPr>
      <w:r w:rsidRPr="00223E97">
        <w:rPr>
          <w:rFonts w:cs="Open Sans"/>
          <w:color w:val="101820"/>
          <w:szCs w:val="20"/>
        </w:rPr>
        <w:t>Whether to apply to the higher technical education growth fund</w:t>
      </w:r>
    </w:p>
    <w:p w14:paraId="00F8BC12" w14:textId="77777777" w:rsidR="00223E97" w:rsidRPr="00223E97" w:rsidRDefault="00223E97" w:rsidP="00223E97">
      <w:pPr>
        <w:ind w:left="1276"/>
        <w:rPr>
          <w:rFonts w:cs="Open Sans"/>
          <w:color w:val="101820"/>
          <w:szCs w:val="20"/>
        </w:rPr>
      </w:pPr>
    </w:p>
    <w:p w14:paraId="50CE8361" w14:textId="61539CF5" w:rsidR="000E206B" w:rsidRDefault="00223E97" w:rsidP="00223E97">
      <w:pPr>
        <w:ind w:left="1276"/>
        <w:rPr>
          <w:rFonts w:cs="Times New Roman (Body CS)"/>
          <w:iCs/>
          <w:color w:val="000000" w:themeColor="text1"/>
          <w:szCs w:val="20"/>
        </w:rPr>
      </w:pPr>
      <w:r w:rsidRPr="00223E97">
        <w:rPr>
          <w:rFonts w:cs="Open Sans"/>
          <w:color w:val="101820"/>
          <w:szCs w:val="20"/>
        </w:rPr>
        <w:t>UVAC will provide a series of ongoing support webinars and briefings.</w:t>
      </w:r>
      <w:r w:rsidR="000E206B">
        <w:rPr>
          <w:rFonts w:cs="Times New Roman (Body CS)"/>
          <w:iCs/>
          <w:color w:val="000000" w:themeColor="text1"/>
        </w:rPr>
        <w:br w:type="page"/>
      </w:r>
    </w:p>
    <w:p w14:paraId="4BCCE527" w14:textId="77777777" w:rsidR="00223E97" w:rsidRPr="000A1456" w:rsidRDefault="00223E97" w:rsidP="0038409F">
      <w:pPr>
        <w:pStyle w:val="UVAC-Largequote"/>
        <w:rPr>
          <w:b/>
          <w:bCs/>
          <w:color w:val="FF0000"/>
          <w:sz w:val="28"/>
          <w:szCs w:val="28"/>
        </w:rPr>
      </w:pPr>
      <w:r w:rsidRPr="000A1456">
        <w:rPr>
          <w:b/>
          <w:bCs/>
          <w:color w:val="FF0000"/>
          <w:sz w:val="28"/>
          <w:szCs w:val="28"/>
        </w:rPr>
        <w:lastRenderedPageBreak/>
        <w:t>UVAC OPINION</w:t>
      </w:r>
    </w:p>
    <w:p w14:paraId="1E37EB44" w14:textId="5B3AF7F9" w:rsidR="00223E97" w:rsidRPr="000A1456" w:rsidRDefault="00223E97" w:rsidP="0038409F">
      <w:pPr>
        <w:pStyle w:val="UVAC-Largequote"/>
        <w:rPr>
          <w:b/>
          <w:bCs/>
          <w:color w:val="FF0000"/>
          <w:sz w:val="21"/>
          <w:szCs w:val="22"/>
        </w:rPr>
      </w:pPr>
      <w:r w:rsidRPr="000A1456">
        <w:rPr>
          <w:b/>
          <w:bCs/>
          <w:color w:val="FF0000"/>
          <w:sz w:val="21"/>
          <w:szCs w:val="22"/>
        </w:rPr>
        <w:t>Will Higher Technical Qualifications (HTQ</w:t>
      </w:r>
      <w:r w:rsidR="000A1456" w:rsidRPr="000A1456">
        <w:rPr>
          <w:b/>
          <w:bCs/>
          <w:color w:val="FF0000"/>
          <w:sz w:val="21"/>
          <w:szCs w:val="22"/>
        </w:rPr>
        <w:t>s</w:t>
      </w:r>
      <w:r w:rsidRPr="000A1456">
        <w:rPr>
          <w:b/>
          <w:bCs/>
          <w:color w:val="FF0000"/>
          <w:sz w:val="21"/>
          <w:szCs w:val="22"/>
        </w:rPr>
        <w:t>) Be a Success?</w:t>
      </w:r>
    </w:p>
    <w:p w14:paraId="05BE0D50" w14:textId="77777777" w:rsidR="00223E97" w:rsidRPr="000A1456" w:rsidRDefault="00223E97" w:rsidP="0038409F">
      <w:pPr>
        <w:pStyle w:val="UVAC-Largequote"/>
        <w:rPr>
          <w:rFonts w:cs="Open Sans"/>
          <w:iCs/>
          <w:sz w:val="22"/>
          <w:szCs w:val="22"/>
        </w:rPr>
      </w:pPr>
      <w:r w:rsidRPr="000A1456">
        <w:rPr>
          <w:rFonts w:cs="Open Sans"/>
          <w:sz w:val="22"/>
          <w:szCs w:val="22"/>
        </w:rPr>
        <w:t>Government</w:t>
      </w:r>
      <w:r w:rsidRPr="000A1456">
        <w:rPr>
          <w:rFonts w:cs="Open Sans"/>
          <w:iCs/>
          <w:sz w:val="22"/>
          <w:szCs w:val="22"/>
        </w:rPr>
        <w:t xml:space="preserve"> </w:t>
      </w:r>
      <w:r w:rsidRPr="000A1456">
        <w:rPr>
          <w:rFonts w:cs="Open Sans"/>
          <w:iCs/>
          <w:sz w:val="22"/>
          <w:szCs w:val="22"/>
        </w:rPr>
        <w:t>has been clear that it wants more individuals to take level 4 and 5 Higher Technical Qualifications (HTQs).  From a higher-level skills perspective, although many of the occupations where there is a real need for</w:t>
      </w:r>
      <w:r w:rsidRPr="000A1456">
        <w:rPr>
          <w:rFonts w:cs="Open Sans"/>
          <w:iCs/>
          <w:sz w:val="22"/>
          <w:szCs w:val="22"/>
        </w:rPr>
        <w:t xml:space="preserve"> </w:t>
      </w:r>
      <w:r w:rsidRPr="000A1456">
        <w:rPr>
          <w:rFonts w:cs="Open Sans"/>
          <w:iCs/>
          <w:sz w:val="22"/>
          <w:szCs w:val="22"/>
        </w:rPr>
        <w:t>growth are at level 6, police constables and registered nurses in the public sector and STEM occupations in the private sector, there are occupational areas where higher technical provision needs to be expanded.  Higher technical occupations in the health, construction, digital and engineering sectors being good examples.  UVAC has accordingly argued that while expanding Higher Technical Education should not be at the expense of level 6 programmes, a push to increase the number of Higher Technical qualifications available is appropriate and welcome.  Accordingly</w:t>
      </w:r>
      <w:r w:rsidRPr="000A1456">
        <w:rPr>
          <w:rFonts w:cs="Open Sans"/>
          <w:iCs/>
          <w:sz w:val="22"/>
          <w:szCs w:val="22"/>
        </w:rPr>
        <w:t>, we want to do all we can to support the HE sector deliver on this agenda.</w:t>
      </w:r>
    </w:p>
    <w:p w14:paraId="5C55959C" w14:textId="3FFBFA92" w:rsidR="00B261A6" w:rsidRPr="00662E00" w:rsidRDefault="00223E97" w:rsidP="00662E00">
      <w:pPr>
        <w:pStyle w:val="UVAC-Largequote"/>
        <w:rPr>
          <w:rFonts w:cs="Open Sans"/>
          <w:sz w:val="22"/>
          <w:szCs w:val="22"/>
        </w:rPr>
      </w:pPr>
      <w:r w:rsidRPr="000A1456">
        <w:rPr>
          <w:rFonts w:cs="Open Sans"/>
          <w:sz w:val="22"/>
          <w:szCs w:val="22"/>
        </w:rPr>
        <w:t>There are,</w:t>
      </w:r>
      <w:r w:rsidRPr="000A1456">
        <w:rPr>
          <w:rFonts w:cs="Open Sans"/>
          <w:iCs/>
          <w:sz w:val="22"/>
          <w:szCs w:val="22"/>
        </w:rPr>
        <w:t xml:space="preserve"> </w:t>
      </w:r>
      <w:r w:rsidRPr="000A1456">
        <w:rPr>
          <w:rFonts w:cs="Open Sans"/>
          <w:iCs/>
          <w:sz w:val="22"/>
          <w:szCs w:val="22"/>
        </w:rPr>
        <w:t>however, a number of barriers that need to be overcome. To get awarding organisations/HEIs and providers onboard</w:t>
      </w:r>
      <w:r w:rsidR="00870A6C" w:rsidRPr="000A1456">
        <w:rPr>
          <w:rFonts w:cs="Open Sans"/>
          <w:iCs/>
          <w:sz w:val="22"/>
          <w:szCs w:val="22"/>
        </w:rPr>
        <w:t>,</w:t>
      </w:r>
      <w:r w:rsidRPr="000A1456">
        <w:rPr>
          <w:rFonts w:cs="Open Sans"/>
          <w:iCs/>
          <w:sz w:val="22"/>
          <w:szCs w:val="22"/>
        </w:rPr>
        <w:t xml:space="preserve"> DfE/</w:t>
      </w:r>
      <w:proofErr w:type="spellStart"/>
      <w:r w:rsidRPr="000A1456">
        <w:rPr>
          <w:rFonts w:cs="Open Sans"/>
          <w:iCs/>
          <w:sz w:val="22"/>
          <w:szCs w:val="22"/>
        </w:rPr>
        <w:t>IfATE</w:t>
      </w:r>
      <w:proofErr w:type="spellEnd"/>
      <w:r w:rsidRPr="000A1456">
        <w:rPr>
          <w:rFonts w:cs="Open Sans"/>
          <w:iCs/>
          <w:sz w:val="22"/>
          <w:szCs w:val="22"/>
        </w:rPr>
        <w:t xml:space="preserve"> needs to lead urgent work</w:t>
      </w:r>
      <w:r w:rsidR="00870A6C" w:rsidRPr="000A1456">
        <w:rPr>
          <w:rFonts w:cs="Open Sans"/>
          <w:sz w:val="22"/>
          <w:szCs w:val="22"/>
        </w:rPr>
        <w:t xml:space="preserve"> to:</w:t>
      </w:r>
    </w:p>
    <w:p w14:paraId="33F58149" w14:textId="40C8907A" w:rsidR="00B261A6" w:rsidRPr="00662E00" w:rsidRDefault="00870A6C" w:rsidP="00662E00">
      <w:pPr>
        <w:pStyle w:val="UVAC-Largequote"/>
        <w:rPr>
          <w:sz w:val="21"/>
          <w:szCs w:val="22"/>
        </w:rPr>
      </w:pPr>
      <w:r w:rsidRPr="000A1456">
        <w:rPr>
          <w:b/>
          <w:bCs/>
          <w:sz w:val="21"/>
          <w:szCs w:val="22"/>
        </w:rPr>
        <w:t xml:space="preserve">Demonstrate the Need and Demand for HTQs – </w:t>
      </w:r>
      <w:r w:rsidRPr="000A1456">
        <w:rPr>
          <w:sz w:val="21"/>
          <w:szCs w:val="22"/>
        </w:rPr>
        <w:t xml:space="preserve">Government and the </w:t>
      </w:r>
      <w:proofErr w:type="spellStart"/>
      <w:r w:rsidRPr="000A1456">
        <w:rPr>
          <w:sz w:val="21"/>
          <w:szCs w:val="22"/>
        </w:rPr>
        <w:t>IfATE</w:t>
      </w:r>
      <w:proofErr w:type="spellEnd"/>
      <w:r w:rsidRPr="000A1456">
        <w:rPr>
          <w:sz w:val="21"/>
          <w:szCs w:val="22"/>
        </w:rPr>
        <w:t>, working with awarding organisations and HEIs must clearly outline the potential demand from employers and individuals and need for HTQs.  This should be done on an occupation-by-occupation basis linked to the HTQ approvals process.  Projections in employment and salary rates should be researched and published setting out why HTQs in a specific occupational area are a good choice for an individual and will support employers recruit and train the staff they need.</w:t>
      </w:r>
      <w:r w:rsidRPr="000A1456">
        <w:rPr>
          <w:sz w:val="21"/>
          <w:szCs w:val="22"/>
        </w:rPr>
        <w:t xml:space="preserve"> </w:t>
      </w:r>
    </w:p>
    <w:p w14:paraId="3533664C" w14:textId="0FE9CDBB" w:rsidR="00B261A6" w:rsidRPr="00662E00" w:rsidRDefault="00870A6C" w:rsidP="00662E00">
      <w:pPr>
        <w:pStyle w:val="UVAC-Largequote"/>
        <w:rPr>
          <w:sz w:val="22"/>
        </w:rPr>
      </w:pPr>
      <w:r w:rsidRPr="000A1456">
        <w:rPr>
          <w:b/>
          <w:bCs/>
          <w:iCs/>
          <w:sz w:val="22"/>
        </w:rPr>
        <w:t xml:space="preserve">Clarify how HTQs will be Marketed and Promoted – </w:t>
      </w:r>
      <w:r w:rsidRPr="000A1456">
        <w:rPr>
          <w:iCs/>
          <w:sz w:val="22"/>
        </w:rPr>
        <w:t xml:space="preserve">To date other than a suggestion that Government will promote HTQs and a </w:t>
      </w:r>
      <w:r w:rsidRPr="000A1456">
        <w:rPr>
          <w:iCs/>
          <w:sz w:val="22"/>
        </w:rPr>
        <w:t>low-key</w:t>
      </w:r>
      <w:r w:rsidRPr="000A1456">
        <w:rPr>
          <w:iCs/>
          <w:sz w:val="22"/>
        </w:rPr>
        <w:t xml:space="preserve"> launch of the </w:t>
      </w:r>
      <w:proofErr w:type="spellStart"/>
      <w:r w:rsidRPr="000A1456">
        <w:rPr>
          <w:iCs/>
          <w:sz w:val="22"/>
        </w:rPr>
        <w:t>IfATE</w:t>
      </w:r>
      <w:proofErr w:type="spellEnd"/>
      <w:r w:rsidRPr="000A1456">
        <w:rPr>
          <w:iCs/>
          <w:sz w:val="22"/>
        </w:rPr>
        <w:t xml:space="preserve"> HTQ Quality Mark logo we have seen little specific marketing activity.  Contrast this with T Levels where substantial marketing and awareness raising activities have been undertaken and are planned.  </w:t>
      </w:r>
    </w:p>
    <w:p w14:paraId="65A53014" w14:textId="1385C74B" w:rsidR="000A1456" w:rsidRPr="000A1456" w:rsidRDefault="000A1456" w:rsidP="000A1456">
      <w:pPr>
        <w:pStyle w:val="UVAC-Largequote"/>
        <w:rPr>
          <w:iCs/>
          <w:sz w:val="22"/>
          <w:szCs w:val="22"/>
        </w:rPr>
      </w:pPr>
      <w:r w:rsidRPr="000A1456">
        <w:rPr>
          <w:b/>
          <w:bCs/>
          <w:iCs/>
          <w:sz w:val="22"/>
          <w:szCs w:val="22"/>
        </w:rPr>
        <w:t>Outline how HTQs will be Funded and Financially Incentivised</w:t>
      </w:r>
      <w:r w:rsidRPr="000A1456">
        <w:rPr>
          <w:iCs/>
          <w:sz w:val="22"/>
          <w:szCs w:val="22"/>
        </w:rPr>
        <w:t xml:space="preserve"> – This is the Government’s big lever, yet at the moment providers planning to deliver HTQs are unsure as to how HTQs will be incentivised vis-à-vis other level 4 and 5 programmes. </w:t>
      </w:r>
    </w:p>
    <w:p w14:paraId="0D3259AB" w14:textId="77777777" w:rsidR="000A1456" w:rsidRPr="000A1456" w:rsidRDefault="000A1456" w:rsidP="000A1456">
      <w:pPr>
        <w:pStyle w:val="UVAC-Largequote"/>
        <w:rPr>
          <w:iCs/>
          <w:sz w:val="22"/>
          <w:szCs w:val="22"/>
        </w:rPr>
      </w:pPr>
    </w:p>
    <w:p w14:paraId="5FA6A5E6" w14:textId="77777777" w:rsidR="000A1456" w:rsidRPr="000A1456" w:rsidRDefault="000A1456" w:rsidP="000A1456">
      <w:pPr>
        <w:pStyle w:val="UVAC-Largequote"/>
        <w:rPr>
          <w:iCs/>
          <w:sz w:val="22"/>
          <w:szCs w:val="22"/>
        </w:rPr>
      </w:pPr>
      <w:r w:rsidRPr="000A1456">
        <w:rPr>
          <w:iCs/>
          <w:sz w:val="22"/>
          <w:szCs w:val="22"/>
        </w:rPr>
        <w:t xml:space="preserve">The lack of clarity on how HTQs will be marketed and how they may be financially incentivised is acting as a break on HEIs and others considering developing into this market.  The messages UVAC usually hears are “We’re keeping a watching brief, but are uncertain as to whether to invest” and “is scalability achievable?” </w:t>
      </w:r>
    </w:p>
    <w:p w14:paraId="17374BEA" w14:textId="77777777" w:rsidR="000A1456" w:rsidRPr="000A1456" w:rsidRDefault="000A1456" w:rsidP="000A1456">
      <w:pPr>
        <w:pStyle w:val="UVAC-Largequote"/>
        <w:rPr>
          <w:iCs/>
          <w:sz w:val="22"/>
          <w:szCs w:val="22"/>
        </w:rPr>
      </w:pPr>
    </w:p>
    <w:p w14:paraId="4BB73609" w14:textId="77777777" w:rsidR="000A1456" w:rsidRDefault="000A1456" w:rsidP="000A1456">
      <w:pPr>
        <w:pStyle w:val="UVAC-Largequote"/>
        <w:rPr>
          <w:iCs/>
          <w:sz w:val="22"/>
          <w:szCs w:val="22"/>
        </w:rPr>
      </w:pPr>
      <w:r w:rsidRPr="000A1456">
        <w:rPr>
          <w:iCs/>
          <w:sz w:val="22"/>
          <w:szCs w:val="22"/>
        </w:rPr>
        <w:t xml:space="preserve">Two further issues also need to be considered by the DfE and </w:t>
      </w:r>
      <w:proofErr w:type="spellStart"/>
      <w:r w:rsidRPr="000A1456">
        <w:rPr>
          <w:iCs/>
          <w:sz w:val="22"/>
          <w:szCs w:val="22"/>
        </w:rPr>
        <w:t>IfATE</w:t>
      </w:r>
      <w:proofErr w:type="spellEnd"/>
      <w:r w:rsidRPr="000A1456">
        <w:rPr>
          <w:iCs/>
          <w:sz w:val="22"/>
          <w:szCs w:val="22"/>
        </w:rPr>
        <w:t xml:space="preserve"> if the success of HTQs is to be assured.</w:t>
      </w:r>
      <w:r>
        <w:rPr>
          <w:iCs/>
          <w:sz w:val="22"/>
          <w:szCs w:val="22"/>
        </w:rPr>
        <w:t xml:space="preserve"> </w:t>
      </w:r>
    </w:p>
    <w:p w14:paraId="5067558F" w14:textId="77777777" w:rsidR="000A1456" w:rsidRDefault="000A1456" w:rsidP="000A1456">
      <w:pPr>
        <w:pStyle w:val="UVAC-Largequote"/>
      </w:pPr>
      <w:r w:rsidRPr="000A1456">
        <w:rPr>
          <w:b/>
          <w:bCs/>
          <w:iCs/>
          <w:sz w:val="22"/>
          <w:szCs w:val="22"/>
        </w:rPr>
        <w:t xml:space="preserve">1. </w:t>
      </w:r>
      <w:r w:rsidRPr="000A1456">
        <w:rPr>
          <w:b/>
          <w:bCs/>
          <w:iCs/>
          <w:sz w:val="22"/>
          <w:szCs w:val="22"/>
        </w:rPr>
        <w:t>Is the HTQ Approval System Robust and Flexible Enough to Ensure the Success of HTQs?</w:t>
      </w:r>
      <w:r w:rsidRPr="000A1456">
        <w:rPr>
          <w:iCs/>
          <w:sz w:val="22"/>
          <w:szCs w:val="22"/>
        </w:rPr>
        <w:t xml:space="preserve"> - To gain the HTQ Quality Mark qualifications submitted by HEIs/awarding organisations are mapped by the </w:t>
      </w:r>
      <w:proofErr w:type="spellStart"/>
      <w:r w:rsidRPr="000A1456">
        <w:rPr>
          <w:iCs/>
          <w:sz w:val="22"/>
          <w:szCs w:val="22"/>
        </w:rPr>
        <w:t>IfATE</w:t>
      </w:r>
      <w:proofErr w:type="spellEnd"/>
      <w:r w:rsidRPr="000A1456">
        <w:rPr>
          <w:iCs/>
          <w:sz w:val="22"/>
          <w:szCs w:val="22"/>
        </w:rPr>
        <w:t xml:space="preserve"> against the Knowledge, Skills and Behaviours specified in relevant Occupational Standards developed by Apprenticeship Trailblazers.  While Occupational Standards will be a very useful tool in guiding the design, development and approval of higher technical qualifications there are problems with this approach.  The first is that occupational standards were designed and developed for a different purpose – that is as the basis of work-based Apprenticeships that develop full occupational competence.  HTQs are, in contrast, a classroom-based programme – hence some of the confusion as to the extent to which an HTQ must map to an Occupational Standard, 60%, 80% or simply to the components that can be delivered in the classroom?  If we are honest, we also have an issue with some occupational standards – they do vary in quality.  Occupational standards also need to be forward looking and not simply reflect the knowledge, skills and behaviours employers believed, at the time of writing the standard, an individual needs to be occupationally competent.  This all calls for the </w:t>
      </w:r>
      <w:proofErr w:type="spellStart"/>
      <w:r w:rsidRPr="000A1456">
        <w:rPr>
          <w:iCs/>
          <w:sz w:val="22"/>
          <w:szCs w:val="22"/>
        </w:rPr>
        <w:t>IfATE</w:t>
      </w:r>
      <w:proofErr w:type="spellEnd"/>
      <w:r w:rsidRPr="000A1456">
        <w:rPr>
          <w:iCs/>
          <w:sz w:val="22"/>
          <w:szCs w:val="22"/>
        </w:rPr>
        <w:t xml:space="preserve"> to have a far greater interventionist role and a role in challenging and questioning employers when developing Occupational Standards.  An approach we think the </w:t>
      </w:r>
      <w:proofErr w:type="spellStart"/>
      <w:r w:rsidRPr="000A1456">
        <w:rPr>
          <w:iCs/>
          <w:sz w:val="22"/>
          <w:szCs w:val="22"/>
        </w:rPr>
        <w:t>IfATE</w:t>
      </w:r>
      <w:proofErr w:type="spellEnd"/>
      <w:r w:rsidRPr="000A1456">
        <w:rPr>
          <w:iCs/>
          <w:sz w:val="22"/>
          <w:szCs w:val="22"/>
        </w:rPr>
        <w:t xml:space="preserve"> is adopting.</w:t>
      </w:r>
      <w:r w:rsidRPr="000A1456">
        <w:t xml:space="preserve"> </w:t>
      </w:r>
    </w:p>
    <w:p w14:paraId="7F34490B" w14:textId="77777777" w:rsidR="000A1456" w:rsidRDefault="000A1456" w:rsidP="000A1456">
      <w:pPr>
        <w:pStyle w:val="UVAC-Largequote"/>
      </w:pPr>
      <w:r w:rsidRPr="000A1456">
        <w:rPr>
          <w:b/>
          <w:bCs/>
        </w:rPr>
        <w:t xml:space="preserve">2. </w:t>
      </w:r>
      <w:r w:rsidRPr="000A1456">
        <w:rPr>
          <w:b/>
          <w:bCs/>
          <w:iCs/>
          <w:sz w:val="22"/>
          <w:szCs w:val="22"/>
        </w:rPr>
        <w:t>Ensuring the Rollout of HTQs Support other Aspects of Government Skills Policy</w:t>
      </w:r>
      <w:r w:rsidRPr="000A1456">
        <w:rPr>
          <w:iCs/>
          <w:sz w:val="22"/>
          <w:szCs w:val="22"/>
        </w:rPr>
        <w:t xml:space="preserve"> - Read the Skills for Jobs White Paper and the Government’s desire to create a national FE and HE credit system is clear.  The approach to Higher Technical Qualifications doesn’t, however, seem to fit with this policy.  Firstly, a level 5 HTQ can be mapped to Occupational Standards at level 4 or 5.  Secondly qualifications of very different credit/programme sizes can be awarded the same quality mark. Such an approach rather undermines the notion of a national credit system.  If different HTQs are of varying credit </w:t>
      </w:r>
      <w:r w:rsidRPr="000A1456">
        <w:rPr>
          <w:iCs/>
          <w:sz w:val="22"/>
          <w:szCs w:val="22"/>
        </w:rPr>
        <w:t>sizes,</w:t>
      </w:r>
      <w:r w:rsidRPr="000A1456">
        <w:rPr>
          <w:iCs/>
          <w:sz w:val="22"/>
          <w:szCs w:val="22"/>
        </w:rPr>
        <w:t xml:space="preserve"> how will they fit into a national system for recognising credit?</w:t>
      </w:r>
      <w:r w:rsidRPr="000A1456">
        <w:t xml:space="preserve"> </w:t>
      </w:r>
    </w:p>
    <w:p w14:paraId="7AB56B68" w14:textId="3D6FA5B1" w:rsidR="00B261A6" w:rsidRPr="000A1456" w:rsidRDefault="000A1456" w:rsidP="000A1456">
      <w:pPr>
        <w:pStyle w:val="UVAC-Largequote"/>
        <w:rPr>
          <w:iCs/>
          <w:color w:val="FF0000"/>
          <w:sz w:val="22"/>
          <w:szCs w:val="22"/>
        </w:rPr>
      </w:pPr>
      <w:r w:rsidRPr="000A1456">
        <w:rPr>
          <w:iCs/>
          <w:color w:val="FF0000"/>
          <w:sz w:val="22"/>
          <w:szCs w:val="22"/>
        </w:rPr>
        <w:t xml:space="preserve">So, will Higher Technical Qualifications be a Success?  The answer is potentially </w:t>
      </w:r>
      <w:r w:rsidRPr="000A1456">
        <w:rPr>
          <w:b/>
          <w:bCs/>
          <w:iCs/>
          <w:color w:val="FF0000"/>
          <w:sz w:val="22"/>
          <w:szCs w:val="22"/>
        </w:rPr>
        <w:t>yes</w:t>
      </w:r>
      <w:r w:rsidRPr="000A1456">
        <w:rPr>
          <w:iCs/>
          <w:color w:val="FF0000"/>
          <w:sz w:val="22"/>
          <w:szCs w:val="22"/>
        </w:rPr>
        <w:t xml:space="preserve">, but only if there is clarity in focus, marketing, funding and their role and contribution to the broader skills agenda.  UVAC looks forward to working with </w:t>
      </w:r>
      <w:proofErr w:type="spellStart"/>
      <w:r w:rsidRPr="000A1456">
        <w:rPr>
          <w:iCs/>
          <w:color w:val="FF0000"/>
          <w:sz w:val="22"/>
          <w:szCs w:val="22"/>
        </w:rPr>
        <w:t>IfATE</w:t>
      </w:r>
      <w:proofErr w:type="spellEnd"/>
      <w:r w:rsidRPr="000A1456">
        <w:rPr>
          <w:iCs/>
          <w:color w:val="FF0000"/>
          <w:sz w:val="22"/>
          <w:szCs w:val="22"/>
        </w:rPr>
        <w:t xml:space="preserve"> on this agenda.</w:t>
      </w:r>
    </w:p>
    <w:p w14:paraId="5FEEE7B9" w14:textId="77777777" w:rsidR="000A1456" w:rsidRPr="0064522C" w:rsidRDefault="000A1456" w:rsidP="000A1456">
      <w:pPr>
        <w:pStyle w:val="UVAC-Largequote"/>
        <w:rPr>
          <w:iCs/>
          <w:color w:val="000000" w:themeColor="text1"/>
        </w:rPr>
      </w:pPr>
    </w:p>
    <w:p w14:paraId="5E9AAFDF" w14:textId="17863B1B" w:rsidR="00B261A6" w:rsidRPr="00FA0698" w:rsidRDefault="00B261A6" w:rsidP="00662E00">
      <w:pPr>
        <w:pStyle w:val="UVAC-Bodycopy"/>
        <w:ind w:left="0"/>
        <w:rPr>
          <w:rFonts w:cs="Times New Roman (Body CS)"/>
          <w:b/>
          <w:iCs/>
          <w:color w:val="000000" w:themeColor="text1"/>
        </w:rPr>
      </w:pPr>
      <w:r w:rsidRPr="00FA0698">
        <w:rPr>
          <w:rFonts w:cs="Times New Roman (Body CS)"/>
          <w:b/>
          <w:iCs/>
          <w:color w:val="000000" w:themeColor="text1"/>
        </w:rPr>
        <w:tab/>
      </w:r>
    </w:p>
    <w:p w14:paraId="6F59D932" w14:textId="77777777" w:rsidR="00B261A6" w:rsidRPr="00B261A6" w:rsidRDefault="00B261A6" w:rsidP="00B261A6">
      <w:pPr>
        <w:pStyle w:val="UVAC-Bodycopy"/>
        <w:rPr>
          <w:rFonts w:cs="Times New Roman (Body CS)"/>
          <w:iCs/>
          <w:color w:val="72777B"/>
        </w:rPr>
      </w:pPr>
    </w:p>
    <w:p w14:paraId="64EE558A" w14:textId="77777777" w:rsidR="00A1423A" w:rsidRDefault="00A1423A" w:rsidP="008C04CF">
      <w:pPr>
        <w:ind w:left="0"/>
        <w:rPr>
          <w:rFonts w:ascii="PT Sans" w:hAnsi="PT Sans"/>
          <w:b/>
          <w:bCs/>
          <w:color w:val="DA0E1C"/>
          <w:sz w:val="32"/>
          <w:szCs w:val="32"/>
        </w:rPr>
      </w:pPr>
    </w:p>
    <w:p w14:paraId="26546B12" w14:textId="77777777" w:rsidR="00A14849" w:rsidRDefault="00A14849" w:rsidP="00943A59">
      <w:pPr>
        <w:pStyle w:val="UVAC-Bodycopy"/>
      </w:pPr>
    </w:p>
    <w:p w14:paraId="0F9C6683" w14:textId="77777777" w:rsidR="00A14849" w:rsidRDefault="00A14849" w:rsidP="00943A59">
      <w:pPr>
        <w:pStyle w:val="UVAC-Bodycopy"/>
      </w:pPr>
    </w:p>
    <w:p w14:paraId="7E156250" w14:textId="77777777" w:rsidR="00A14849" w:rsidRDefault="00A14849" w:rsidP="00943A59">
      <w:pPr>
        <w:pStyle w:val="UVAC-Bodycopy"/>
      </w:pPr>
    </w:p>
    <w:p w14:paraId="0EB1BF51" w14:textId="77DBA2A8" w:rsidR="00A14849" w:rsidRDefault="00A14849" w:rsidP="00662E00">
      <w:pPr>
        <w:pStyle w:val="UVAC-Bodycopy"/>
      </w:pPr>
      <w:r>
        <w:rPr>
          <w:noProof/>
          <w:lang w:val="en-US"/>
        </w:rPr>
        <w:drawing>
          <wp:anchor distT="0" distB="0" distL="114300" distR="114300" simplePos="0" relativeHeight="251657728" behindDoc="1" locked="1" layoutInCell="1" allowOverlap="1" wp14:anchorId="0E4908C8" wp14:editId="22E2AC09">
            <wp:simplePos x="0" y="0"/>
            <wp:positionH relativeFrom="page">
              <wp:posOffset>0</wp:posOffset>
            </wp:positionH>
            <wp:positionV relativeFrom="page">
              <wp:posOffset>0</wp:posOffset>
            </wp:positionV>
            <wp:extent cx="7554595" cy="10691495"/>
            <wp:effectExtent l="0" t="0" r="1905"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DA_Word template_Back cover-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4595" cy="10691495"/>
                    </a:xfrm>
                    <a:prstGeom prst="rect">
                      <a:avLst/>
                    </a:prstGeom>
                  </pic:spPr>
                </pic:pic>
              </a:graphicData>
            </a:graphic>
          </wp:anchor>
        </w:drawing>
      </w:r>
    </w:p>
    <w:sectPr w:rsidR="00A14849" w:rsidSect="006800DF">
      <w:headerReference w:type="even" r:id="rId18"/>
      <w:headerReference w:type="default" r:id="rId19"/>
      <w:footerReference w:type="default" r:id="rId20"/>
      <w:headerReference w:type="first" r:id="rId21"/>
      <w:pgSz w:w="11906" w:h="16838"/>
      <w:pgMar w:top="1701" w:right="1134" w:bottom="1418" w:left="1134" w:header="59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6FA3" w14:textId="77777777" w:rsidR="0016508D" w:rsidRDefault="0016508D" w:rsidP="00CA4AE8">
      <w:r>
        <w:separator/>
      </w:r>
    </w:p>
  </w:endnote>
  <w:endnote w:type="continuationSeparator" w:id="0">
    <w:p w14:paraId="2DC54CAB" w14:textId="77777777" w:rsidR="0016508D" w:rsidRDefault="0016508D" w:rsidP="00CA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tamaran SemiBold">
    <w:altName w:val="Vijaya"/>
    <w:panose1 w:val="020B0604020202020204"/>
    <w:charset w:val="4D"/>
    <w:family w:val="auto"/>
    <w:pitch w:val="variable"/>
    <w:sig w:usb0="00100007" w:usb1="00000000" w:usb2="00000000" w:usb3="00000000" w:csb0="00000093" w:csb1="00000000"/>
  </w:font>
  <w:font w:name="Times New Roman (Body CS)">
    <w:altName w:val="Times New Roman"/>
    <w:panose1 w:val="020B0604020202020204"/>
    <w:charset w:val="00"/>
    <w:family w:val="roman"/>
    <w:notTrueType/>
    <w:pitch w:val="default"/>
  </w:font>
  <w:font w:name="Catamaran">
    <w:altName w:val="Vijaya"/>
    <w:panose1 w:val="020B0604020202020204"/>
    <w:charset w:val="4D"/>
    <w:family w:val="auto"/>
    <w:pitch w:val="variable"/>
    <w:sig w:usb0="00100007" w:usb1="00000000" w:usb2="00000000" w:usb3="00000000" w:csb0="00000093" w:csb1="00000000"/>
  </w:font>
  <w:font w:name="PT Sans">
    <w:panose1 w:val="020B0503020203020204"/>
    <w:charset w:val="4D"/>
    <w:family w:val="swiss"/>
    <w:pitch w:val="variable"/>
    <w:sig w:usb0="A00002EF" w:usb1="5000204B" w:usb2="00000000" w:usb3="00000000" w:csb0="00000097" w:csb1="00000000"/>
  </w:font>
  <w:font w:name="Open Sans SemiBold">
    <w:panose1 w:val="020B0604020202020204"/>
    <w:charset w:val="00"/>
    <w:family w:val="swiss"/>
    <w:pitch w:val="variable"/>
    <w:sig w:usb0="E00002EF" w:usb1="4000205B" w:usb2="00000028" w:usb3="00000000" w:csb0="0000019F" w:csb1="00000000"/>
  </w:font>
  <w:font w:name="Muli">
    <w:panose1 w:val="00000000000000000000"/>
    <w:charset w:val="4D"/>
    <w:family w:val="auto"/>
    <w:pitch w:val="variable"/>
    <w:sig w:usb0="A00000FF" w:usb1="5000204B" w:usb2="00000000" w:usb3="00000000" w:csb0="00000193" w:csb1="00000000"/>
  </w:font>
  <w:font w:name="Times">
    <w:altName w:val="Times Roman"/>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A14F" w14:textId="77777777" w:rsidR="0016508D" w:rsidRPr="00322735" w:rsidRDefault="0016508D" w:rsidP="00D874BF">
    <w:pPr>
      <w:pStyle w:val="UVAC-Headerandfooter"/>
      <w:tabs>
        <w:tab w:val="clear" w:pos="4513"/>
        <w:tab w:val="clear" w:pos="9026"/>
        <w:tab w:val="right" w:pos="9638"/>
        <w:tab w:val="right" w:pos="9696"/>
        <w:tab w:val="right" w:pos="9752"/>
      </w:tabs>
      <w:ind w:right="-1"/>
      <w:jc w:val="right"/>
    </w:pPr>
    <w:r w:rsidRPr="00322735">
      <w:t>©UVAC</w:t>
    </w:r>
    <w:r>
      <w:t xml:space="preserve"> and CDA</w:t>
    </w:r>
    <w:r w:rsidRPr="00322735">
      <w:t xml:space="preserve"> </w:t>
    </w:r>
    <w:r>
      <w:tab/>
      <w:t>www.</w:t>
    </w:r>
    <w:r w:rsidRPr="00322735">
      <w:t>uvac.ac.u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A4C4" w14:textId="77777777" w:rsidR="0016508D" w:rsidRDefault="0016508D" w:rsidP="00CA4AE8">
      <w:r>
        <w:separator/>
      </w:r>
    </w:p>
  </w:footnote>
  <w:footnote w:type="continuationSeparator" w:id="0">
    <w:p w14:paraId="5472A0F2" w14:textId="77777777" w:rsidR="0016508D" w:rsidRDefault="0016508D" w:rsidP="00CA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92842"/>
      <w:docPartObj>
        <w:docPartGallery w:val="Page Numbers (Top of Page)"/>
        <w:docPartUnique/>
      </w:docPartObj>
    </w:sdtPr>
    <w:sdtEndPr/>
    <w:sdtContent>
      <w:p w14:paraId="768EA4EE" w14:textId="77777777" w:rsidR="0016508D" w:rsidRDefault="00AF7CC1" w:rsidP="009F3077">
        <w:pPr>
          <w:framePr w:wrap="none" w:vAnchor="text" w:hAnchor="margin" w:xAlign="right" w:y="1"/>
        </w:pPr>
        <w:r>
          <w:rPr>
            <w:noProof/>
          </w:rPr>
        </w:r>
        <w:r w:rsidR="00AF7CC1">
          <w:rPr>
            <w:noProof/>
          </w:rPr>
          <w:pict w14:anchorId="20788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539710" o:spid="_x0000_s1026" type="#_x0000_t75" alt="" style="position:absolute;left:0;text-align:left;margin-left:0;margin-top:0;width:2481pt;height:3509pt;z-index:-251662848;mso-wrap-edited:f;mso-width-percent:0;mso-height-percent:0;mso-position-horizontal:center;mso-position-horizontal-relative:margin;mso-position-vertical:center;mso-position-vertical-relative:margin;mso-width-percent:0;mso-height-percent:0" o:allowincell="f">
              <v:imagedata r:id="rId1" o:title="CDA_A4_General page-28"/>
              <w10:wrap anchorx="margin" anchory="margin"/>
            </v:shape>
          </w:pict>
        </w:r>
        <w:r w:rsidR="0016508D">
          <w:fldChar w:fldCharType="begin"/>
        </w:r>
        <w:r w:rsidR="0016508D">
          <w:instrText xml:space="preserve"> PAGE </w:instrText>
        </w:r>
        <w:r w:rsidR="0016508D">
          <w:fldChar w:fldCharType="end"/>
        </w:r>
      </w:p>
    </w:sdtContent>
  </w:sdt>
  <w:p w14:paraId="595A3BBD" w14:textId="77777777" w:rsidR="0016508D" w:rsidRDefault="0016508D" w:rsidP="00576DD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090007"/>
      <w:docPartObj>
        <w:docPartGallery w:val="Page Numbers (Top of Page)"/>
        <w:docPartUnique/>
      </w:docPartObj>
    </w:sdtPr>
    <w:sdtEndPr>
      <w:rPr>
        <w:sz w:val="14"/>
        <w:szCs w:val="14"/>
      </w:rPr>
    </w:sdtEndPr>
    <w:sdtContent>
      <w:p w14:paraId="640F209D" w14:textId="77777777" w:rsidR="0016508D" w:rsidRPr="009F3077" w:rsidRDefault="0016508D" w:rsidP="00B261A6">
        <w:pPr>
          <w:framePr w:wrap="none" w:vAnchor="text" w:hAnchor="margin" w:xAlign="right" w:y="1"/>
          <w:rPr>
            <w:sz w:val="14"/>
            <w:szCs w:val="14"/>
          </w:rPr>
        </w:pPr>
        <w:r w:rsidRPr="009F3077">
          <w:rPr>
            <w:sz w:val="14"/>
            <w:szCs w:val="14"/>
          </w:rPr>
          <w:fldChar w:fldCharType="begin"/>
        </w:r>
        <w:r w:rsidRPr="009F3077">
          <w:rPr>
            <w:sz w:val="14"/>
            <w:szCs w:val="14"/>
          </w:rPr>
          <w:instrText xml:space="preserve"> PAGE </w:instrText>
        </w:r>
        <w:r w:rsidRPr="009F3077">
          <w:rPr>
            <w:sz w:val="14"/>
            <w:szCs w:val="14"/>
          </w:rPr>
          <w:fldChar w:fldCharType="separate"/>
        </w:r>
        <w:r w:rsidR="00EA02F7">
          <w:rPr>
            <w:noProof/>
            <w:sz w:val="14"/>
            <w:szCs w:val="14"/>
          </w:rPr>
          <w:t>1</w:t>
        </w:r>
        <w:r w:rsidRPr="009F3077">
          <w:rPr>
            <w:sz w:val="14"/>
            <w:szCs w:val="14"/>
          </w:rPr>
          <w:fldChar w:fldCharType="end"/>
        </w:r>
      </w:p>
    </w:sdtContent>
  </w:sdt>
  <w:p w14:paraId="33630D2A" w14:textId="308BB927" w:rsidR="0016508D" w:rsidRPr="00604B4C" w:rsidRDefault="005F7ED7" w:rsidP="00604B4C">
    <w:pPr>
      <w:pStyle w:val="UVAC-Headerandfooter"/>
      <w:rPr>
        <w:b/>
        <w:bCs/>
        <w:szCs w:val="14"/>
      </w:rPr>
    </w:pPr>
    <w:r>
      <w:rPr>
        <w:noProof/>
        <w:szCs w:val="14"/>
      </w:rPr>
      <mc:AlternateContent>
        <mc:Choice Requires="wps">
          <w:drawing>
            <wp:anchor distT="0" distB="0" distL="114300" distR="114300" simplePos="0" relativeHeight="251655680" behindDoc="0" locked="0" layoutInCell="1" allowOverlap="1" wp14:anchorId="756908FF" wp14:editId="598B15D9">
              <wp:simplePos x="0" y="0"/>
              <wp:positionH relativeFrom="margin">
                <wp:posOffset>0</wp:posOffset>
              </wp:positionH>
              <wp:positionV relativeFrom="paragraph">
                <wp:posOffset>167005</wp:posOffset>
              </wp:positionV>
              <wp:extent cx="6120130" cy="0"/>
              <wp:effectExtent l="0" t="0" r="1270" b="0"/>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6350">
                        <a:solidFill>
                          <a:srgbClr val="CFD1D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B64A93" id="Straight Connector 2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15pt" to="481.9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" strokecolor="#cfd1d2" strokeweight=".5pt">
              <v:stroke joinstyle="miter"/>
              <o:lock v:ext="edit" shapetype="f"/>
              <w10:wrap anchorx="margin"/>
            </v:line>
          </w:pict>
        </mc:Fallback>
      </mc:AlternateContent>
    </w:r>
    <w:r w:rsidR="0016508D" w:rsidRPr="00604B4C">
      <w:rPr>
        <w:rFonts w:ascii="Catamaran SemiBold" w:hAnsi="Catamaran SemiBold" w:cs="Catamaran SemiBold"/>
        <w:b/>
        <w:bCs/>
        <w:color w:val="FFFFFF" w:themeColor="background1"/>
        <w:kern w:val="48"/>
        <w:sz w:val="48"/>
        <w:szCs w:val="48"/>
      </w:rPr>
      <w:t xml:space="preserve"> </w:t>
    </w:r>
    <w:r w:rsidR="00346E83">
      <w:rPr>
        <w:b/>
        <w:bCs/>
        <w:szCs w:val="14"/>
      </w:rPr>
      <w:t>Higher Technical Qualifications</w:t>
    </w:r>
    <w:r w:rsidR="0016508D" w:rsidRPr="00604B4C">
      <w:rPr>
        <w:b/>
        <w:bCs/>
        <w:szCs w:val="14"/>
      </w:rPr>
      <w:t xml:space="preserve"> </w:t>
    </w:r>
  </w:p>
  <w:p w14:paraId="79FCCDD6" w14:textId="77777777" w:rsidR="0016508D" w:rsidRPr="009F3077" w:rsidRDefault="0016508D" w:rsidP="00CF4A71">
    <w:pPr>
      <w:pStyle w:val="UVAC-Headerandfooter"/>
      <w:rPr>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6ACB" w14:textId="77777777" w:rsidR="0016508D" w:rsidRDefault="00AF7CC1">
    <w:r>
      <w:rPr>
        <w:noProof/>
      </w:rPr>
    </w:r>
    <w:r w:rsidR="00AF7CC1">
      <w:rPr>
        <w:noProof/>
      </w:rPr>
      <w:pict w14:anchorId="47D1F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539709" o:spid="_x0000_s1025" type="#_x0000_t75" alt="" style="position:absolute;left:0;text-align:left;margin-left:0;margin-top:0;width:2481pt;height:3509pt;z-index:-251656192;mso-wrap-edited:f;mso-width-percent:0;mso-height-percent:0;mso-position-horizontal:center;mso-position-horizontal-relative:margin;mso-position-vertical:center;mso-position-vertical-relative:margin;mso-width-percent:0;mso-height-percent:0" o:allowincell="f">
          <v:imagedata r:id="rId1" o:title="CDA_A4_General page-2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E5998"/>
    <w:multiLevelType w:val="hybridMultilevel"/>
    <w:tmpl w:val="B18488AC"/>
    <w:lvl w:ilvl="0" w:tplc="4F967E5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0F3DCC"/>
    <w:multiLevelType w:val="hybridMultilevel"/>
    <w:tmpl w:val="C4A48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665339"/>
    <w:multiLevelType w:val="hybridMultilevel"/>
    <w:tmpl w:val="FBA6CC10"/>
    <w:lvl w:ilvl="0" w:tplc="BB0C39D4">
      <w:start w:val="1"/>
      <w:numFmt w:val="bullet"/>
      <w:lvlText w:val=""/>
      <w:lvlJc w:val="left"/>
      <w:pPr>
        <w:ind w:left="1996" w:hanging="360"/>
      </w:pPr>
      <w:rPr>
        <w:rFonts w:ascii="Symbol" w:hAnsi="Symbol" w:hint="default"/>
        <w:color w:val="FF0000"/>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664D5A7C"/>
    <w:multiLevelType w:val="hybridMultilevel"/>
    <w:tmpl w:val="E6D2BFB8"/>
    <w:lvl w:ilvl="0" w:tplc="63F89EC4">
      <w:start w:val="1"/>
      <w:numFmt w:val="upperRoman"/>
      <w:lvlText w:val="%1."/>
      <w:lvlJc w:val="righ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66DC443C"/>
    <w:multiLevelType w:val="hybridMultilevel"/>
    <w:tmpl w:val="8FE84B38"/>
    <w:lvl w:ilvl="0" w:tplc="C4627F14">
      <w:start w:val="5"/>
      <w:numFmt w:val="decimal"/>
      <w:lvlText w:val="%1."/>
      <w:lvlJc w:val="left"/>
      <w:pPr>
        <w:ind w:left="1636"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C431DAC"/>
    <w:multiLevelType w:val="hybridMultilevel"/>
    <w:tmpl w:val="0734D554"/>
    <w:lvl w:ilvl="0" w:tplc="FECC7B68">
      <w:start w:val="1"/>
      <w:numFmt w:val="bullet"/>
      <w:lvlText w:val=""/>
      <w:lvlJc w:val="left"/>
      <w:pPr>
        <w:ind w:left="1814" w:hanging="340"/>
      </w:pPr>
      <w:rPr>
        <w:rFonts w:ascii="Symbol" w:hAnsi="Symbol" w:hint="default"/>
        <w:color w:val="DA0E1C"/>
      </w:rPr>
    </w:lvl>
    <w:lvl w:ilvl="1" w:tplc="8F70347A">
      <w:start w:val="1"/>
      <w:numFmt w:val="bullet"/>
      <w:pStyle w:val="UVAC-Bulletpoint1"/>
      <w:lvlText w:val=""/>
      <w:lvlJc w:val="left"/>
      <w:pPr>
        <w:ind w:left="1304" w:hanging="170"/>
      </w:pPr>
      <w:rPr>
        <w:rFonts w:ascii="Symbol" w:hAnsi="Symbol" w:hint="default"/>
        <w:color w:val="DA0E1C"/>
      </w:rPr>
    </w:lvl>
    <w:lvl w:ilvl="2" w:tplc="BDCE2EF8">
      <w:start w:val="1"/>
      <w:numFmt w:val="bullet"/>
      <w:lvlText w:val=""/>
      <w:lvlJc w:val="left"/>
      <w:pPr>
        <w:ind w:left="1474" w:hanging="170"/>
      </w:pPr>
      <w:rPr>
        <w:rFonts w:ascii="Symbol" w:hAnsi="Symbol" w:hint="default"/>
        <w:color w:val="101820"/>
      </w:rPr>
    </w:lvl>
    <w:lvl w:ilvl="3" w:tplc="12025144">
      <w:start w:val="1"/>
      <w:numFmt w:val="bullet"/>
      <w:lvlText w:val=""/>
      <w:lvlJc w:val="left"/>
      <w:pPr>
        <w:ind w:left="1644" w:hanging="170"/>
      </w:pPr>
      <w:rPr>
        <w:rFonts w:ascii="Symbol" w:hAnsi="Symbol" w:hint="default"/>
        <w:color w:val="72777B"/>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8776E"/>
    <w:multiLevelType w:val="hybridMultilevel"/>
    <w:tmpl w:val="1E96A9FA"/>
    <w:lvl w:ilvl="0" w:tplc="F0B87DBA">
      <w:start w:val="1"/>
      <w:numFmt w:val="decimal"/>
      <w:lvlText w:val="%1."/>
      <w:lvlJc w:val="left"/>
      <w:pPr>
        <w:ind w:left="1636"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3CF29AA"/>
    <w:multiLevelType w:val="hybridMultilevel"/>
    <w:tmpl w:val="15628D36"/>
    <w:lvl w:ilvl="0" w:tplc="7756BF94">
      <w:start w:val="1"/>
      <w:numFmt w:val="bullet"/>
      <w:lvlText w:val="-"/>
      <w:lvlJc w:val="left"/>
      <w:pPr>
        <w:ind w:left="644" w:hanging="360"/>
      </w:pPr>
      <w:rPr>
        <w:rFonts w:ascii="Arial" w:eastAsiaTheme="minorHAnsi" w:hAnsi="Arial" w:cs="Times New Roman" w:hint="default"/>
        <w:i w:val="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B2A3C0C"/>
    <w:multiLevelType w:val="hybridMultilevel"/>
    <w:tmpl w:val="AC502A3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4"/>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584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5A"/>
    <w:rsid w:val="000103F0"/>
    <w:rsid w:val="00010410"/>
    <w:rsid w:val="00011487"/>
    <w:rsid w:val="000116C0"/>
    <w:rsid w:val="00021731"/>
    <w:rsid w:val="000229C8"/>
    <w:rsid w:val="00022A4C"/>
    <w:rsid w:val="00032787"/>
    <w:rsid w:val="00035860"/>
    <w:rsid w:val="00040B88"/>
    <w:rsid w:val="00043A19"/>
    <w:rsid w:val="00052606"/>
    <w:rsid w:val="00081F22"/>
    <w:rsid w:val="0008669C"/>
    <w:rsid w:val="00096BD6"/>
    <w:rsid w:val="000A0D56"/>
    <w:rsid w:val="000A1456"/>
    <w:rsid w:val="000C3D47"/>
    <w:rsid w:val="000D00D0"/>
    <w:rsid w:val="000E12D1"/>
    <w:rsid w:val="000E206B"/>
    <w:rsid w:val="000F2333"/>
    <w:rsid w:val="000F6179"/>
    <w:rsid w:val="00117AEF"/>
    <w:rsid w:val="001277A5"/>
    <w:rsid w:val="00137FFA"/>
    <w:rsid w:val="00143CCC"/>
    <w:rsid w:val="001473CE"/>
    <w:rsid w:val="0016508D"/>
    <w:rsid w:val="00186F41"/>
    <w:rsid w:val="00197129"/>
    <w:rsid w:val="00197AC1"/>
    <w:rsid w:val="001A1D40"/>
    <w:rsid w:val="001A6BAF"/>
    <w:rsid w:val="001C4606"/>
    <w:rsid w:val="001E2033"/>
    <w:rsid w:val="00223E97"/>
    <w:rsid w:val="00226916"/>
    <w:rsid w:val="002549C3"/>
    <w:rsid w:val="00257849"/>
    <w:rsid w:val="00262510"/>
    <w:rsid w:val="002657D3"/>
    <w:rsid w:val="00265B87"/>
    <w:rsid w:val="00280222"/>
    <w:rsid w:val="00282168"/>
    <w:rsid w:val="0028776C"/>
    <w:rsid w:val="002918F3"/>
    <w:rsid w:val="002A33BC"/>
    <w:rsid w:val="002A3850"/>
    <w:rsid w:val="002C59F0"/>
    <w:rsid w:val="002C5DB7"/>
    <w:rsid w:val="002D2AC9"/>
    <w:rsid w:val="002E2FE7"/>
    <w:rsid w:val="002E4D53"/>
    <w:rsid w:val="002E7516"/>
    <w:rsid w:val="002E7BE1"/>
    <w:rsid w:val="002F009F"/>
    <w:rsid w:val="00313341"/>
    <w:rsid w:val="00315470"/>
    <w:rsid w:val="00322735"/>
    <w:rsid w:val="00345BD4"/>
    <w:rsid w:val="00346E83"/>
    <w:rsid w:val="00353B4C"/>
    <w:rsid w:val="00360D73"/>
    <w:rsid w:val="0036247C"/>
    <w:rsid w:val="00362F94"/>
    <w:rsid w:val="003824E0"/>
    <w:rsid w:val="0038409F"/>
    <w:rsid w:val="00385C36"/>
    <w:rsid w:val="003A1FAF"/>
    <w:rsid w:val="003B5495"/>
    <w:rsid w:val="003D5589"/>
    <w:rsid w:val="003E470E"/>
    <w:rsid w:val="003E6A9E"/>
    <w:rsid w:val="00400F37"/>
    <w:rsid w:val="004030B3"/>
    <w:rsid w:val="004035B0"/>
    <w:rsid w:val="00407138"/>
    <w:rsid w:val="00426EFD"/>
    <w:rsid w:val="00426F4C"/>
    <w:rsid w:val="00440583"/>
    <w:rsid w:val="0044719A"/>
    <w:rsid w:val="004539D6"/>
    <w:rsid w:val="0046396D"/>
    <w:rsid w:val="004640D6"/>
    <w:rsid w:val="00467E31"/>
    <w:rsid w:val="00492EDA"/>
    <w:rsid w:val="004A5D4C"/>
    <w:rsid w:val="004B22C1"/>
    <w:rsid w:val="004C0F4E"/>
    <w:rsid w:val="00503D8B"/>
    <w:rsid w:val="005072D5"/>
    <w:rsid w:val="00510B97"/>
    <w:rsid w:val="00510C93"/>
    <w:rsid w:val="0052102A"/>
    <w:rsid w:val="00532982"/>
    <w:rsid w:val="00540487"/>
    <w:rsid w:val="00542A85"/>
    <w:rsid w:val="00573F40"/>
    <w:rsid w:val="005745FF"/>
    <w:rsid w:val="00576DD6"/>
    <w:rsid w:val="005871C0"/>
    <w:rsid w:val="005921D0"/>
    <w:rsid w:val="005953E6"/>
    <w:rsid w:val="00597B4B"/>
    <w:rsid w:val="005B6F51"/>
    <w:rsid w:val="005C11CA"/>
    <w:rsid w:val="005C2D88"/>
    <w:rsid w:val="005C4E47"/>
    <w:rsid w:val="005D5EDE"/>
    <w:rsid w:val="005E500C"/>
    <w:rsid w:val="005F3154"/>
    <w:rsid w:val="005F7ED7"/>
    <w:rsid w:val="005F7F30"/>
    <w:rsid w:val="00604B4C"/>
    <w:rsid w:val="006111AB"/>
    <w:rsid w:val="0064522C"/>
    <w:rsid w:val="00650705"/>
    <w:rsid w:val="0065259B"/>
    <w:rsid w:val="00662E00"/>
    <w:rsid w:val="006800DF"/>
    <w:rsid w:val="0068280A"/>
    <w:rsid w:val="006A5DF4"/>
    <w:rsid w:val="006C6DFB"/>
    <w:rsid w:val="006D418D"/>
    <w:rsid w:val="006F7D38"/>
    <w:rsid w:val="007013E5"/>
    <w:rsid w:val="00721AE7"/>
    <w:rsid w:val="00732E03"/>
    <w:rsid w:val="00736FF5"/>
    <w:rsid w:val="0074560B"/>
    <w:rsid w:val="007679ED"/>
    <w:rsid w:val="007706BE"/>
    <w:rsid w:val="00776C5A"/>
    <w:rsid w:val="00782D37"/>
    <w:rsid w:val="007850F9"/>
    <w:rsid w:val="00793410"/>
    <w:rsid w:val="007A0F3C"/>
    <w:rsid w:val="007A551A"/>
    <w:rsid w:val="007A6C4E"/>
    <w:rsid w:val="007B0235"/>
    <w:rsid w:val="007B40B1"/>
    <w:rsid w:val="007C1BE1"/>
    <w:rsid w:val="007C38F9"/>
    <w:rsid w:val="007C7ACD"/>
    <w:rsid w:val="007D4CA5"/>
    <w:rsid w:val="007E128A"/>
    <w:rsid w:val="0080400A"/>
    <w:rsid w:val="00804531"/>
    <w:rsid w:val="00811DA6"/>
    <w:rsid w:val="00813981"/>
    <w:rsid w:val="008424CC"/>
    <w:rsid w:val="0085697E"/>
    <w:rsid w:val="00870A6C"/>
    <w:rsid w:val="00882571"/>
    <w:rsid w:val="0089461C"/>
    <w:rsid w:val="00894903"/>
    <w:rsid w:val="00896041"/>
    <w:rsid w:val="00896F22"/>
    <w:rsid w:val="008B06E1"/>
    <w:rsid w:val="008B7D4C"/>
    <w:rsid w:val="008C04CF"/>
    <w:rsid w:val="008C1495"/>
    <w:rsid w:val="008F1842"/>
    <w:rsid w:val="008F19D2"/>
    <w:rsid w:val="008F5337"/>
    <w:rsid w:val="009026AD"/>
    <w:rsid w:val="00903C4E"/>
    <w:rsid w:val="009078BC"/>
    <w:rsid w:val="009325E2"/>
    <w:rsid w:val="009355E6"/>
    <w:rsid w:val="00941FD1"/>
    <w:rsid w:val="00943A59"/>
    <w:rsid w:val="00945597"/>
    <w:rsid w:val="009670A1"/>
    <w:rsid w:val="00975FF7"/>
    <w:rsid w:val="009838EF"/>
    <w:rsid w:val="009966A4"/>
    <w:rsid w:val="009A0CC0"/>
    <w:rsid w:val="009A2B38"/>
    <w:rsid w:val="009B0610"/>
    <w:rsid w:val="009B62D8"/>
    <w:rsid w:val="009C5786"/>
    <w:rsid w:val="009D70DA"/>
    <w:rsid w:val="009F3077"/>
    <w:rsid w:val="00A07D91"/>
    <w:rsid w:val="00A1423A"/>
    <w:rsid w:val="00A14849"/>
    <w:rsid w:val="00A155CF"/>
    <w:rsid w:val="00A31E98"/>
    <w:rsid w:val="00A32C59"/>
    <w:rsid w:val="00A37F09"/>
    <w:rsid w:val="00A575C4"/>
    <w:rsid w:val="00A61F34"/>
    <w:rsid w:val="00A74FC0"/>
    <w:rsid w:val="00A83F72"/>
    <w:rsid w:val="00A9189C"/>
    <w:rsid w:val="00AB468D"/>
    <w:rsid w:val="00AB56A7"/>
    <w:rsid w:val="00AB64FC"/>
    <w:rsid w:val="00AC5A2B"/>
    <w:rsid w:val="00AD2DBC"/>
    <w:rsid w:val="00AD4E58"/>
    <w:rsid w:val="00AE1020"/>
    <w:rsid w:val="00AF309C"/>
    <w:rsid w:val="00AF5478"/>
    <w:rsid w:val="00AF781D"/>
    <w:rsid w:val="00AF7CC1"/>
    <w:rsid w:val="00B0517E"/>
    <w:rsid w:val="00B05552"/>
    <w:rsid w:val="00B05FC8"/>
    <w:rsid w:val="00B131C2"/>
    <w:rsid w:val="00B2105F"/>
    <w:rsid w:val="00B2197B"/>
    <w:rsid w:val="00B22CBB"/>
    <w:rsid w:val="00B261A6"/>
    <w:rsid w:val="00B32565"/>
    <w:rsid w:val="00B33278"/>
    <w:rsid w:val="00B3561E"/>
    <w:rsid w:val="00B61992"/>
    <w:rsid w:val="00B819CF"/>
    <w:rsid w:val="00BA1E7E"/>
    <w:rsid w:val="00BA21C5"/>
    <w:rsid w:val="00BA4E5F"/>
    <w:rsid w:val="00BB416B"/>
    <w:rsid w:val="00BC1156"/>
    <w:rsid w:val="00BD57E7"/>
    <w:rsid w:val="00BD78AC"/>
    <w:rsid w:val="00C0026A"/>
    <w:rsid w:val="00C00341"/>
    <w:rsid w:val="00C15530"/>
    <w:rsid w:val="00C211BC"/>
    <w:rsid w:val="00C2595C"/>
    <w:rsid w:val="00C26563"/>
    <w:rsid w:val="00C279E7"/>
    <w:rsid w:val="00C826D8"/>
    <w:rsid w:val="00C84301"/>
    <w:rsid w:val="00C961A9"/>
    <w:rsid w:val="00CA4AE8"/>
    <w:rsid w:val="00CA4EE9"/>
    <w:rsid w:val="00CB74D1"/>
    <w:rsid w:val="00CC5C14"/>
    <w:rsid w:val="00CC74FF"/>
    <w:rsid w:val="00CD4764"/>
    <w:rsid w:val="00CE4603"/>
    <w:rsid w:val="00CE5430"/>
    <w:rsid w:val="00CF4A71"/>
    <w:rsid w:val="00D0564D"/>
    <w:rsid w:val="00D1738A"/>
    <w:rsid w:val="00D33C13"/>
    <w:rsid w:val="00D34160"/>
    <w:rsid w:val="00D35BCF"/>
    <w:rsid w:val="00D70DB9"/>
    <w:rsid w:val="00D719AE"/>
    <w:rsid w:val="00D74B61"/>
    <w:rsid w:val="00D874BF"/>
    <w:rsid w:val="00DA2E8C"/>
    <w:rsid w:val="00DC6CF7"/>
    <w:rsid w:val="00DC77BB"/>
    <w:rsid w:val="00DD013C"/>
    <w:rsid w:val="00DD23A8"/>
    <w:rsid w:val="00DD3A2F"/>
    <w:rsid w:val="00DD4622"/>
    <w:rsid w:val="00E00089"/>
    <w:rsid w:val="00E04097"/>
    <w:rsid w:val="00E147F0"/>
    <w:rsid w:val="00E32507"/>
    <w:rsid w:val="00E33642"/>
    <w:rsid w:val="00E3559C"/>
    <w:rsid w:val="00E46AD3"/>
    <w:rsid w:val="00E520B0"/>
    <w:rsid w:val="00E67DE5"/>
    <w:rsid w:val="00E84C5B"/>
    <w:rsid w:val="00E954AD"/>
    <w:rsid w:val="00EA02F7"/>
    <w:rsid w:val="00EA0CFA"/>
    <w:rsid w:val="00EB3E1E"/>
    <w:rsid w:val="00EB4E17"/>
    <w:rsid w:val="00EB7AF4"/>
    <w:rsid w:val="00EF5BC3"/>
    <w:rsid w:val="00EF66AC"/>
    <w:rsid w:val="00F02215"/>
    <w:rsid w:val="00F032B0"/>
    <w:rsid w:val="00F04B71"/>
    <w:rsid w:val="00F05512"/>
    <w:rsid w:val="00F10962"/>
    <w:rsid w:val="00F10F8B"/>
    <w:rsid w:val="00F16FEF"/>
    <w:rsid w:val="00F20A9A"/>
    <w:rsid w:val="00F23114"/>
    <w:rsid w:val="00F541BF"/>
    <w:rsid w:val="00F748E1"/>
    <w:rsid w:val="00F91EBF"/>
    <w:rsid w:val="00FA0698"/>
    <w:rsid w:val="00FA5AD4"/>
    <w:rsid w:val="00FC1988"/>
    <w:rsid w:val="00FC5603"/>
    <w:rsid w:val="00FE3FF5"/>
    <w:rsid w:val="00FF35D2"/>
    <w:rsid w:val="00FF5D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2428A00A"/>
  <w15:docId w15:val="{4EB2C6E1-70F2-ED41-8F6A-95A864D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CC"/>
    <w:pPr>
      <w:ind w:left="1134"/>
    </w:pPr>
    <w:rPr>
      <w:rFonts w:ascii="Open Sans" w:hAnsi="Open Sans"/>
      <w:sz w:val="20"/>
    </w:rPr>
  </w:style>
  <w:style w:type="paragraph" w:styleId="Heading1">
    <w:name w:val="heading 1"/>
    <w:basedOn w:val="Normal"/>
    <w:next w:val="Normal"/>
    <w:link w:val="Heading1Char"/>
    <w:uiPriority w:val="9"/>
    <w:qFormat/>
    <w:rsid w:val="004A5D4C"/>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VAC-Subheading2">
    <w:name w:val="UVAC - Sub heading 2"/>
    <w:qFormat/>
    <w:rsid w:val="00197AC1"/>
    <w:pPr>
      <w:keepLines/>
      <w:spacing w:before="360" w:line="180" w:lineRule="auto"/>
      <w:ind w:left="1134"/>
    </w:pPr>
    <w:rPr>
      <w:rFonts w:ascii="Catamaran SemiBold" w:hAnsi="Catamaran SemiBold" w:cs="Times New Roman (Body CS)"/>
      <w:bCs/>
      <w:color w:val="101820"/>
      <w:sz w:val="23"/>
      <w:szCs w:val="23"/>
    </w:rPr>
  </w:style>
  <w:style w:type="paragraph" w:styleId="Footer">
    <w:name w:val="footer"/>
    <w:basedOn w:val="Normal"/>
    <w:link w:val="FooterChar"/>
    <w:uiPriority w:val="99"/>
    <w:unhideWhenUsed/>
    <w:rsid w:val="004A5D4C"/>
    <w:pPr>
      <w:tabs>
        <w:tab w:val="center" w:pos="4513"/>
        <w:tab w:val="right" w:pos="9026"/>
      </w:tabs>
    </w:pPr>
  </w:style>
  <w:style w:type="character" w:customStyle="1" w:styleId="FooterChar">
    <w:name w:val="Footer Char"/>
    <w:basedOn w:val="DefaultParagraphFont"/>
    <w:link w:val="Footer"/>
    <w:uiPriority w:val="99"/>
    <w:rsid w:val="004A5D4C"/>
    <w:rPr>
      <w:rFonts w:ascii="Open Sans" w:hAnsi="Open Sans"/>
      <w:sz w:val="20"/>
    </w:rPr>
  </w:style>
  <w:style w:type="character" w:customStyle="1" w:styleId="Heading1Char">
    <w:name w:val="Heading 1 Char"/>
    <w:basedOn w:val="DefaultParagraphFont"/>
    <w:link w:val="Heading1"/>
    <w:uiPriority w:val="9"/>
    <w:rsid w:val="004A5D4C"/>
    <w:rPr>
      <w:rFonts w:ascii="Open Sans" w:eastAsiaTheme="majorEastAsia" w:hAnsi="Open Sans" w:cstheme="majorBidi"/>
      <w:color w:val="2F5496" w:themeColor="accent1" w:themeShade="BF"/>
      <w:sz w:val="32"/>
      <w:szCs w:val="32"/>
    </w:rPr>
  </w:style>
  <w:style w:type="paragraph" w:customStyle="1" w:styleId="UVAC-ChapterSectionNumbertitle">
    <w:name w:val="UVAC - Chapter/Section Number title"/>
    <w:qFormat/>
    <w:rsid w:val="008424CC"/>
    <w:pPr>
      <w:spacing w:after="560" w:line="180" w:lineRule="auto"/>
    </w:pPr>
    <w:rPr>
      <w:rFonts w:ascii="Catamaran SemiBold" w:hAnsi="Catamaran SemiBold" w:cs="Catamaran"/>
      <w:b/>
      <w:bCs/>
      <w:noProof/>
      <w:color w:val="DA0E1C"/>
      <w:sz w:val="32"/>
      <w:szCs w:val="32"/>
    </w:rPr>
  </w:style>
  <w:style w:type="paragraph" w:customStyle="1" w:styleId="UVAC-Chaptertitle">
    <w:name w:val="UVAC - Chapter title"/>
    <w:qFormat/>
    <w:rsid w:val="008424CC"/>
    <w:pPr>
      <w:spacing w:line="180" w:lineRule="auto"/>
    </w:pPr>
    <w:rPr>
      <w:rFonts w:ascii="Catamaran" w:hAnsi="Catamaran" w:cs="Catamaran"/>
      <w:noProof/>
      <w:color w:val="101820"/>
      <w:sz w:val="48"/>
      <w:szCs w:val="48"/>
    </w:rPr>
  </w:style>
  <w:style w:type="paragraph" w:styleId="BalloonText">
    <w:name w:val="Balloon Text"/>
    <w:basedOn w:val="Normal"/>
    <w:link w:val="BalloonTextChar"/>
    <w:uiPriority w:val="99"/>
    <w:unhideWhenUsed/>
    <w:rsid w:val="002F009F"/>
    <w:rPr>
      <w:rFonts w:ascii="Times New Roman" w:hAnsi="Times New Roman" w:cs="Times New Roman"/>
      <w:sz w:val="18"/>
      <w:szCs w:val="18"/>
    </w:rPr>
  </w:style>
  <w:style w:type="paragraph" w:customStyle="1" w:styleId="UVAC-Bodycopy">
    <w:name w:val="UVAC - Body copy"/>
    <w:qFormat/>
    <w:rsid w:val="00943A59"/>
    <w:pPr>
      <w:spacing w:before="160" w:after="160"/>
      <w:ind w:left="1134"/>
    </w:pPr>
    <w:rPr>
      <w:rFonts w:ascii="Open Sans" w:hAnsi="Open Sans" w:cs="Open Sans"/>
      <w:color w:val="101820"/>
      <w:sz w:val="20"/>
      <w:szCs w:val="20"/>
    </w:rPr>
  </w:style>
  <w:style w:type="paragraph" w:customStyle="1" w:styleId="UVAC-Subheading1">
    <w:name w:val="UVAC - Sub heading 1"/>
    <w:qFormat/>
    <w:rsid w:val="000F6179"/>
    <w:pPr>
      <w:spacing w:before="480" w:after="240" w:line="180" w:lineRule="auto"/>
      <w:ind w:left="1134"/>
    </w:pPr>
    <w:rPr>
      <w:rFonts w:ascii="Catamaran" w:hAnsi="Catamaran" w:cs="Catamaran"/>
      <w:color w:val="101820"/>
      <w:sz w:val="28"/>
      <w:szCs w:val="28"/>
    </w:rPr>
  </w:style>
  <w:style w:type="paragraph" w:customStyle="1" w:styleId="UVAC-Largetitle">
    <w:name w:val="UVAC - Large title"/>
    <w:qFormat/>
    <w:rsid w:val="00C26563"/>
    <w:pPr>
      <w:keepLines/>
      <w:snapToGrid w:val="0"/>
      <w:spacing w:before="120" w:after="480" w:line="180" w:lineRule="auto"/>
      <w:ind w:left="1134" w:right="2268"/>
    </w:pPr>
    <w:rPr>
      <w:rFonts w:ascii="Catamaran SemiBold" w:hAnsi="Catamaran SemiBold" w:cs="Catamaran"/>
      <w:color w:val="101820"/>
      <w:sz w:val="36"/>
      <w:szCs w:val="36"/>
    </w:rPr>
  </w:style>
  <w:style w:type="paragraph" w:customStyle="1" w:styleId="UVAC-Headerandfooter">
    <w:name w:val="UVAC - Header and footer"/>
    <w:qFormat/>
    <w:rsid w:val="008424CC"/>
    <w:pPr>
      <w:tabs>
        <w:tab w:val="center" w:pos="4513"/>
        <w:tab w:val="right" w:pos="9026"/>
      </w:tabs>
      <w:ind w:right="357"/>
    </w:pPr>
    <w:rPr>
      <w:rFonts w:ascii="PT Sans" w:hAnsi="PT Sans" w:cs="Times New Roman (Body CS)"/>
      <w:color w:val="101820"/>
      <w:sz w:val="14"/>
      <w:szCs w:val="16"/>
    </w:rPr>
  </w:style>
  <w:style w:type="character" w:customStyle="1" w:styleId="CDA-Bodycopybold">
    <w:name w:val="CDA - Body copy bold"/>
    <w:basedOn w:val="DefaultParagraphFont"/>
    <w:uiPriority w:val="1"/>
    <w:qFormat/>
    <w:rsid w:val="000F6179"/>
    <w:rPr>
      <w:rFonts w:ascii="Open Sans SemiBold" w:hAnsi="Open Sans SemiBold"/>
      <w:b/>
      <w:bCs/>
      <w:i w:val="0"/>
    </w:rPr>
  </w:style>
  <w:style w:type="paragraph" w:customStyle="1" w:styleId="UVAC-Largequote">
    <w:name w:val="UVAC - Large quote"/>
    <w:qFormat/>
    <w:rsid w:val="00400F37"/>
    <w:pPr>
      <w:keepLines/>
      <w:pBdr>
        <w:top w:val="single" w:sz="48" w:space="4" w:color="F3F3F4"/>
        <w:left w:val="single" w:sz="48" w:space="4" w:color="F3F3F4"/>
        <w:bottom w:val="single" w:sz="48" w:space="4" w:color="F3F3F4"/>
        <w:right w:val="single" w:sz="48" w:space="6" w:color="F3F3F4"/>
      </w:pBdr>
      <w:shd w:val="solid" w:color="F3F3F4" w:fill="DA0E1C"/>
      <w:suppressAutoHyphens/>
      <w:spacing w:before="360" w:after="360"/>
      <w:ind w:left="1361"/>
    </w:pPr>
    <w:rPr>
      <w:rFonts w:ascii="Open Sans" w:hAnsi="Open Sans" w:cs="Times New Roman (Body CS)"/>
      <w:i/>
      <w:color w:val="72777B"/>
    </w:rPr>
  </w:style>
  <w:style w:type="character" w:customStyle="1" w:styleId="BalloonTextChar">
    <w:name w:val="Balloon Text Char"/>
    <w:basedOn w:val="DefaultParagraphFont"/>
    <w:link w:val="BalloonText"/>
    <w:uiPriority w:val="99"/>
    <w:semiHidden/>
    <w:rsid w:val="002F009F"/>
    <w:rPr>
      <w:rFonts w:ascii="Times New Roman" w:hAnsi="Times New Roman" w:cs="Times New Roman"/>
      <w:sz w:val="18"/>
      <w:szCs w:val="18"/>
    </w:rPr>
  </w:style>
  <w:style w:type="paragraph" w:customStyle="1" w:styleId="UVAC-Bulletpoint1">
    <w:name w:val="UVAC - Bullet point 1"/>
    <w:basedOn w:val="UVAC-Bodycopy"/>
    <w:qFormat/>
    <w:rsid w:val="000F6179"/>
    <w:pPr>
      <w:keepNext/>
      <w:keepLines/>
      <w:numPr>
        <w:ilvl w:val="1"/>
        <w:numId w:val="1"/>
      </w:numPr>
      <w:spacing w:after="360"/>
      <w:contextualSpacing/>
    </w:pPr>
  </w:style>
  <w:style w:type="character" w:customStyle="1" w:styleId="CDA-Bulletpoint2">
    <w:name w:val="CDA - Bullet point 2"/>
    <w:basedOn w:val="DefaultParagraphFont"/>
    <w:uiPriority w:val="1"/>
    <w:qFormat/>
    <w:rsid w:val="00E84C5B"/>
  </w:style>
  <w:style w:type="character" w:customStyle="1" w:styleId="CDA-Bulletpoint3">
    <w:name w:val="CDA - Bullet point 3"/>
    <w:basedOn w:val="DefaultParagraphFont"/>
    <w:uiPriority w:val="1"/>
    <w:qFormat/>
    <w:rsid w:val="00E84C5B"/>
  </w:style>
  <w:style w:type="paragraph" w:customStyle="1" w:styleId="UVAC-Bodycopy-notindented">
    <w:name w:val="UVAC - Body copy - not indented"/>
    <w:qFormat/>
    <w:rsid w:val="00943A59"/>
    <w:pPr>
      <w:spacing w:before="100" w:beforeAutospacing="1"/>
    </w:pPr>
    <w:rPr>
      <w:rFonts w:ascii="Open Sans" w:hAnsi="Open Sans" w:cs="Open Sans"/>
      <w:color w:val="101820"/>
      <w:sz w:val="20"/>
      <w:szCs w:val="20"/>
    </w:rPr>
  </w:style>
  <w:style w:type="character" w:styleId="Hyperlink">
    <w:name w:val="Hyperlink"/>
    <w:aliases w:val="UVAC - Hyperlink or email"/>
    <w:basedOn w:val="DefaultParagraphFont"/>
    <w:uiPriority w:val="99"/>
    <w:unhideWhenUsed/>
    <w:rsid w:val="008424CC"/>
    <w:rPr>
      <w:rFonts w:ascii="Open Sans" w:hAnsi="Open Sans"/>
      <w:b w:val="0"/>
      <w:i w:val="0"/>
      <w:color w:val="DA0E1C"/>
      <w:sz w:val="20"/>
    </w:rPr>
  </w:style>
  <w:style w:type="paragraph" w:styleId="Revision">
    <w:name w:val="Revision"/>
    <w:hidden/>
    <w:uiPriority w:val="99"/>
    <w:semiHidden/>
    <w:rsid w:val="00467E31"/>
  </w:style>
  <w:style w:type="paragraph" w:styleId="NoSpacing">
    <w:name w:val="No Spacing"/>
    <w:link w:val="NoSpacingChar"/>
    <w:uiPriority w:val="1"/>
    <w:qFormat/>
    <w:rsid w:val="009838EF"/>
    <w:rPr>
      <w:rFonts w:eastAsiaTheme="minorEastAsia"/>
      <w:sz w:val="22"/>
      <w:szCs w:val="22"/>
      <w:lang w:val="en-US" w:eastAsia="zh-CN"/>
    </w:rPr>
  </w:style>
  <w:style w:type="character" w:customStyle="1" w:styleId="NoSpacingChar">
    <w:name w:val="No Spacing Char"/>
    <w:basedOn w:val="DefaultParagraphFont"/>
    <w:link w:val="NoSpacing"/>
    <w:uiPriority w:val="1"/>
    <w:rsid w:val="009838EF"/>
    <w:rPr>
      <w:rFonts w:eastAsiaTheme="minorEastAsia"/>
      <w:sz w:val="22"/>
      <w:szCs w:val="22"/>
      <w:lang w:val="en-US" w:eastAsia="zh-CN"/>
    </w:rPr>
  </w:style>
  <w:style w:type="paragraph" w:customStyle="1" w:styleId="UVAC-Contents-Chaptertitle">
    <w:name w:val="UVAC - Contents - Chapter title"/>
    <w:basedOn w:val="UVAC-Bodycopy-notindented"/>
    <w:qFormat/>
    <w:rsid w:val="000F6179"/>
    <w:pPr>
      <w:pBdr>
        <w:bottom w:val="single" w:sz="4" w:space="4" w:color="CFD1D2"/>
      </w:pBdr>
      <w:spacing w:before="0" w:beforeAutospacing="0" w:after="240"/>
    </w:pPr>
  </w:style>
  <w:style w:type="paragraph" w:customStyle="1" w:styleId="UVAC-Contentstitle">
    <w:name w:val="UVAC - Contents title"/>
    <w:qFormat/>
    <w:rsid w:val="008424CC"/>
    <w:pPr>
      <w:spacing w:after="240" w:line="180" w:lineRule="auto"/>
      <w:jc w:val="both"/>
    </w:pPr>
    <w:rPr>
      <w:rFonts w:ascii="Catamaran SemiBold" w:hAnsi="Catamaran SemiBold" w:cs="Times New Roman (Body CS)"/>
      <w:b/>
      <w:bCs/>
      <w:sz w:val="32"/>
      <w:szCs w:val="32"/>
    </w:rPr>
  </w:style>
  <w:style w:type="paragraph" w:customStyle="1" w:styleId="UVAC-Contents-Chapternumber">
    <w:name w:val="UVAC - Contents - Chapter number"/>
    <w:qFormat/>
    <w:rsid w:val="008424CC"/>
    <w:pPr>
      <w:spacing w:after="60"/>
    </w:pPr>
    <w:rPr>
      <w:rFonts w:ascii="Open Sans SemiBold" w:hAnsi="Open Sans SemiBold"/>
      <w:b/>
      <w:bCs/>
      <w:color w:val="DA0E1C"/>
      <w:sz w:val="20"/>
      <w:szCs w:val="20"/>
    </w:rPr>
  </w:style>
  <w:style w:type="paragraph" w:customStyle="1" w:styleId="UVAC-Covertitle">
    <w:name w:val="UVAC - Cover title"/>
    <w:basedOn w:val="UVAC-Bodycopy-notindented"/>
    <w:qFormat/>
    <w:rsid w:val="00943A59"/>
    <w:pPr>
      <w:spacing w:before="0" w:beforeAutospacing="0" w:after="240" w:line="180" w:lineRule="auto"/>
    </w:pPr>
    <w:rPr>
      <w:rFonts w:ascii="Catamaran SemiBold" w:hAnsi="Catamaran SemiBold" w:cs="Catamaran SemiBold"/>
      <w:b/>
      <w:bCs/>
      <w:kern w:val="48"/>
      <w:sz w:val="48"/>
      <w:szCs w:val="48"/>
    </w:rPr>
  </w:style>
  <w:style w:type="paragraph" w:customStyle="1" w:styleId="UVAC-Coversub-line">
    <w:name w:val="UVAC - Cover sub-line"/>
    <w:qFormat/>
    <w:rsid w:val="00943A59"/>
    <w:pPr>
      <w:spacing w:after="240"/>
    </w:pPr>
    <w:rPr>
      <w:rFonts w:ascii="Open Sans" w:hAnsi="Open Sans" w:cs="Open Sans"/>
      <w:noProof/>
      <w:color w:val="101820"/>
      <w:sz w:val="28"/>
      <w:szCs w:val="28"/>
    </w:rPr>
  </w:style>
  <w:style w:type="character" w:customStyle="1" w:styleId="UnresolvedMention1">
    <w:name w:val="Unresolved Mention1"/>
    <w:basedOn w:val="DefaultParagraphFont"/>
    <w:uiPriority w:val="99"/>
    <w:semiHidden/>
    <w:unhideWhenUsed/>
    <w:rsid w:val="00A74FC0"/>
    <w:rPr>
      <w:color w:val="605E5C"/>
      <w:shd w:val="clear" w:color="auto" w:fill="E1DFDD"/>
    </w:rPr>
  </w:style>
  <w:style w:type="character" w:styleId="FollowedHyperlink">
    <w:name w:val="FollowedHyperlink"/>
    <w:aliases w:val="CDA - FollowedHyperlink"/>
    <w:basedOn w:val="DefaultParagraphFont"/>
    <w:uiPriority w:val="99"/>
    <w:semiHidden/>
    <w:unhideWhenUsed/>
    <w:rsid w:val="00E3559C"/>
    <w:rPr>
      <w:rFonts w:ascii="Muli" w:hAnsi="Muli"/>
      <w:b w:val="0"/>
      <w:i w:val="0"/>
      <w:color w:val="DA0E1C"/>
      <w:sz w:val="20"/>
      <w:u w:val="single"/>
    </w:rPr>
  </w:style>
  <w:style w:type="character" w:customStyle="1" w:styleId="CDA-In-linequote">
    <w:name w:val="CDA - In-line quote"/>
    <w:basedOn w:val="DefaultParagraphFont"/>
    <w:uiPriority w:val="1"/>
    <w:qFormat/>
    <w:rsid w:val="008424CC"/>
    <w:rPr>
      <w:rFonts w:ascii="Open Sans" w:hAnsi="Open Sans"/>
      <w:b w:val="0"/>
      <w:i/>
      <w:iCs/>
      <w:sz w:val="21"/>
      <w:szCs w:val="21"/>
    </w:rPr>
  </w:style>
  <w:style w:type="paragraph" w:styleId="FootnoteText">
    <w:name w:val="footnote text"/>
    <w:basedOn w:val="Normal"/>
    <w:link w:val="FootnoteTextChar"/>
    <w:uiPriority w:val="99"/>
    <w:unhideWhenUsed/>
    <w:rsid w:val="00A61F34"/>
    <w:rPr>
      <w:szCs w:val="20"/>
    </w:rPr>
  </w:style>
  <w:style w:type="character" w:customStyle="1" w:styleId="FootnoteTextChar">
    <w:name w:val="Footnote Text Char"/>
    <w:basedOn w:val="DefaultParagraphFont"/>
    <w:link w:val="FootnoteText"/>
    <w:uiPriority w:val="99"/>
    <w:rsid w:val="00A61F34"/>
    <w:rPr>
      <w:rFonts w:ascii="Open Sans" w:hAnsi="Open Sans"/>
      <w:sz w:val="20"/>
      <w:szCs w:val="20"/>
    </w:rPr>
  </w:style>
  <w:style w:type="character" w:styleId="FootnoteReference">
    <w:name w:val="footnote reference"/>
    <w:basedOn w:val="DefaultParagraphFont"/>
    <w:uiPriority w:val="99"/>
    <w:unhideWhenUsed/>
    <w:rsid w:val="00A61F34"/>
    <w:rPr>
      <w:vertAlign w:val="superscript"/>
    </w:rPr>
  </w:style>
  <w:style w:type="character" w:customStyle="1" w:styleId="BalloonTextChar1">
    <w:name w:val="Balloon Text Char1"/>
    <w:basedOn w:val="DefaultParagraphFont"/>
    <w:uiPriority w:val="99"/>
    <w:rsid w:val="00B261A6"/>
    <w:rPr>
      <w:rFonts w:ascii="Times New Roman" w:hAnsi="Times New Roman" w:cs="Times New Roman"/>
      <w:sz w:val="18"/>
      <w:szCs w:val="18"/>
    </w:rPr>
  </w:style>
  <w:style w:type="character" w:customStyle="1" w:styleId="CommentTextChar">
    <w:name w:val="Comment Text Char"/>
    <w:basedOn w:val="DefaultParagraphFont"/>
    <w:link w:val="CommentText"/>
    <w:uiPriority w:val="99"/>
    <w:rsid w:val="00B261A6"/>
    <w:rPr>
      <w:sz w:val="20"/>
      <w:szCs w:val="20"/>
    </w:rPr>
  </w:style>
  <w:style w:type="paragraph" w:styleId="CommentText">
    <w:name w:val="annotation text"/>
    <w:basedOn w:val="Normal"/>
    <w:link w:val="CommentTextChar"/>
    <w:uiPriority w:val="99"/>
    <w:unhideWhenUsed/>
    <w:rsid w:val="00B261A6"/>
    <w:pPr>
      <w:ind w:left="0"/>
    </w:pPr>
    <w:rPr>
      <w:rFonts w:asciiTheme="minorHAnsi" w:hAnsiTheme="minorHAnsi"/>
      <w:szCs w:val="20"/>
    </w:rPr>
  </w:style>
  <w:style w:type="character" w:customStyle="1" w:styleId="CommentTextChar1">
    <w:name w:val="Comment Text Char1"/>
    <w:basedOn w:val="DefaultParagraphFont"/>
    <w:uiPriority w:val="99"/>
    <w:semiHidden/>
    <w:rsid w:val="00B261A6"/>
    <w:rPr>
      <w:rFonts w:ascii="Open Sans" w:hAnsi="Open Sans"/>
      <w:sz w:val="20"/>
      <w:szCs w:val="20"/>
    </w:rPr>
  </w:style>
  <w:style w:type="character" w:customStyle="1" w:styleId="CommentSubjectChar">
    <w:name w:val="Comment Subject Char"/>
    <w:basedOn w:val="CommentTextChar"/>
    <w:link w:val="CommentSubject"/>
    <w:uiPriority w:val="99"/>
    <w:rsid w:val="00B261A6"/>
    <w:rPr>
      <w:b/>
      <w:bCs/>
      <w:sz w:val="20"/>
      <w:szCs w:val="20"/>
    </w:rPr>
  </w:style>
  <w:style w:type="paragraph" w:styleId="CommentSubject">
    <w:name w:val="annotation subject"/>
    <w:basedOn w:val="CommentText"/>
    <w:next w:val="CommentText"/>
    <w:link w:val="CommentSubjectChar"/>
    <w:uiPriority w:val="99"/>
    <w:unhideWhenUsed/>
    <w:rsid w:val="00B261A6"/>
    <w:rPr>
      <w:b/>
      <w:bCs/>
    </w:rPr>
  </w:style>
  <w:style w:type="character" w:customStyle="1" w:styleId="CommentSubjectChar1">
    <w:name w:val="Comment Subject Char1"/>
    <w:basedOn w:val="CommentTextChar1"/>
    <w:uiPriority w:val="99"/>
    <w:semiHidden/>
    <w:rsid w:val="00B261A6"/>
    <w:rPr>
      <w:rFonts w:ascii="Open Sans" w:hAnsi="Open Sans"/>
      <w:b/>
      <w:bCs/>
      <w:sz w:val="20"/>
      <w:szCs w:val="20"/>
    </w:rPr>
  </w:style>
  <w:style w:type="paragraph" w:styleId="NormalWeb">
    <w:name w:val="Normal (Web)"/>
    <w:basedOn w:val="Normal"/>
    <w:uiPriority w:val="99"/>
    <w:rsid w:val="00B261A6"/>
    <w:pPr>
      <w:spacing w:beforeLines="1" w:afterLines="1"/>
      <w:ind w:left="0"/>
    </w:pPr>
    <w:rPr>
      <w:rFonts w:ascii="Times" w:hAnsi="Times" w:cs="Times New Roman"/>
      <w:szCs w:val="20"/>
    </w:rPr>
  </w:style>
  <w:style w:type="character" w:styleId="CommentReference">
    <w:name w:val="annotation reference"/>
    <w:basedOn w:val="DefaultParagraphFont"/>
    <w:uiPriority w:val="99"/>
    <w:unhideWhenUsed/>
    <w:rsid w:val="00B261A6"/>
    <w:rPr>
      <w:sz w:val="18"/>
      <w:szCs w:val="18"/>
    </w:rPr>
  </w:style>
  <w:style w:type="paragraph" w:styleId="ListParagraph">
    <w:name w:val="List Paragraph"/>
    <w:basedOn w:val="Normal"/>
    <w:uiPriority w:val="34"/>
    <w:qFormat/>
    <w:rsid w:val="00B261A6"/>
    <w:pPr>
      <w:ind w:left="720"/>
      <w:contextualSpacing/>
    </w:pPr>
    <w:rPr>
      <w:rFonts w:asciiTheme="minorHAnsi" w:hAnsiTheme="minorHAnsi"/>
      <w:sz w:val="24"/>
    </w:rPr>
  </w:style>
  <w:style w:type="character" w:styleId="PageNumber">
    <w:name w:val="page number"/>
    <w:basedOn w:val="DefaultParagraphFont"/>
    <w:uiPriority w:val="99"/>
    <w:rsid w:val="00B261A6"/>
  </w:style>
  <w:style w:type="character" w:customStyle="1" w:styleId="apple-converted-space">
    <w:name w:val="apple-converted-space"/>
    <w:basedOn w:val="DefaultParagraphFont"/>
    <w:rsid w:val="00B261A6"/>
  </w:style>
  <w:style w:type="paragraph" w:styleId="Header">
    <w:name w:val="header"/>
    <w:basedOn w:val="Normal"/>
    <w:link w:val="HeaderChar"/>
    <w:unhideWhenUsed/>
    <w:rsid w:val="00B261A6"/>
    <w:pPr>
      <w:tabs>
        <w:tab w:val="center" w:pos="4513"/>
        <w:tab w:val="right" w:pos="9026"/>
      </w:tabs>
      <w:ind w:left="0"/>
    </w:pPr>
    <w:rPr>
      <w:rFonts w:asciiTheme="minorHAnsi" w:hAnsiTheme="minorHAnsi"/>
      <w:sz w:val="24"/>
    </w:rPr>
  </w:style>
  <w:style w:type="character" w:customStyle="1" w:styleId="HeaderChar">
    <w:name w:val="Header Char"/>
    <w:basedOn w:val="DefaultParagraphFont"/>
    <w:link w:val="Header"/>
    <w:rsid w:val="00B261A6"/>
  </w:style>
  <w:style w:type="character" w:customStyle="1" w:styleId="UnresolvedMention2">
    <w:name w:val="Unresolved Mention2"/>
    <w:basedOn w:val="DefaultParagraphFont"/>
    <w:uiPriority w:val="99"/>
    <w:semiHidden/>
    <w:unhideWhenUsed/>
    <w:rsid w:val="00AF5478"/>
    <w:rPr>
      <w:color w:val="605E5C"/>
      <w:shd w:val="clear" w:color="auto" w:fill="E1DFDD"/>
    </w:rPr>
  </w:style>
  <w:style w:type="character" w:styleId="UnresolvedMention">
    <w:name w:val="Unresolved Mention"/>
    <w:basedOn w:val="DefaultParagraphFont"/>
    <w:uiPriority w:val="99"/>
    <w:semiHidden/>
    <w:unhideWhenUsed/>
    <w:rsid w:val="008C1495"/>
    <w:rPr>
      <w:color w:val="605E5C"/>
      <w:shd w:val="clear" w:color="auto" w:fill="E1DFDD"/>
    </w:rPr>
  </w:style>
  <w:style w:type="table" w:styleId="TableGrid">
    <w:name w:val="Table Grid"/>
    <w:basedOn w:val="TableNormal"/>
    <w:uiPriority w:val="59"/>
    <w:rsid w:val="00223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34022">
      <w:bodyDiv w:val="1"/>
      <w:marLeft w:val="0"/>
      <w:marRight w:val="0"/>
      <w:marTop w:val="0"/>
      <w:marBottom w:val="0"/>
      <w:divBdr>
        <w:top w:val="none" w:sz="0" w:space="0" w:color="auto"/>
        <w:left w:val="none" w:sz="0" w:space="0" w:color="auto"/>
        <w:bottom w:val="none" w:sz="0" w:space="0" w:color="auto"/>
        <w:right w:val="none" w:sz="0" w:space="0" w:color="auto"/>
      </w:divBdr>
    </w:div>
    <w:div w:id="843588782">
      <w:bodyDiv w:val="1"/>
      <w:marLeft w:val="0"/>
      <w:marRight w:val="0"/>
      <w:marTop w:val="0"/>
      <w:marBottom w:val="0"/>
      <w:divBdr>
        <w:top w:val="none" w:sz="0" w:space="0" w:color="auto"/>
        <w:left w:val="none" w:sz="0" w:space="0" w:color="auto"/>
        <w:bottom w:val="none" w:sz="0" w:space="0" w:color="auto"/>
        <w:right w:val="none" w:sz="0" w:space="0" w:color="auto"/>
      </w:divBdr>
      <w:divsChild>
        <w:div w:id="1480149519">
          <w:marLeft w:val="0"/>
          <w:marRight w:val="0"/>
          <w:marTop w:val="0"/>
          <w:marBottom w:val="0"/>
          <w:divBdr>
            <w:top w:val="none" w:sz="0" w:space="0" w:color="auto"/>
            <w:left w:val="none" w:sz="0" w:space="0" w:color="auto"/>
            <w:bottom w:val="none" w:sz="0" w:space="0" w:color="auto"/>
            <w:right w:val="none" w:sz="0" w:space="0" w:color="auto"/>
          </w:divBdr>
        </w:div>
      </w:divsChild>
    </w:div>
    <w:div w:id="1048527119">
      <w:bodyDiv w:val="1"/>
      <w:marLeft w:val="0"/>
      <w:marRight w:val="0"/>
      <w:marTop w:val="0"/>
      <w:marBottom w:val="0"/>
      <w:divBdr>
        <w:top w:val="none" w:sz="0" w:space="0" w:color="auto"/>
        <w:left w:val="none" w:sz="0" w:space="0" w:color="auto"/>
        <w:bottom w:val="none" w:sz="0" w:space="0" w:color="auto"/>
        <w:right w:val="none" w:sz="0" w:space="0" w:color="auto"/>
      </w:divBdr>
    </w:div>
    <w:div w:id="1161241358">
      <w:bodyDiv w:val="1"/>
      <w:marLeft w:val="0"/>
      <w:marRight w:val="0"/>
      <w:marTop w:val="0"/>
      <w:marBottom w:val="0"/>
      <w:divBdr>
        <w:top w:val="none" w:sz="0" w:space="0" w:color="auto"/>
        <w:left w:val="none" w:sz="0" w:space="0" w:color="auto"/>
        <w:bottom w:val="none" w:sz="0" w:space="0" w:color="auto"/>
        <w:right w:val="none" w:sz="0" w:space="0" w:color="auto"/>
      </w:divBdr>
      <w:divsChild>
        <w:div w:id="2112162245">
          <w:marLeft w:val="0"/>
          <w:marRight w:val="0"/>
          <w:marTop w:val="0"/>
          <w:marBottom w:val="0"/>
          <w:divBdr>
            <w:top w:val="none" w:sz="0" w:space="0" w:color="auto"/>
            <w:left w:val="none" w:sz="0" w:space="0" w:color="auto"/>
            <w:bottom w:val="none" w:sz="0" w:space="0" w:color="auto"/>
            <w:right w:val="none" w:sz="0" w:space="0" w:color="auto"/>
          </w:divBdr>
          <w:divsChild>
            <w:div w:id="1602647045">
              <w:marLeft w:val="0"/>
              <w:marRight w:val="0"/>
              <w:marTop w:val="0"/>
              <w:marBottom w:val="0"/>
              <w:divBdr>
                <w:top w:val="none" w:sz="0" w:space="0" w:color="auto"/>
                <w:left w:val="none" w:sz="0" w:space="0" w:color="auto"/>
                <w:bottom w:val="none" w:sz="0" w:space="0" w:color="auto"/>
                <w:right w:val="none" w:sz="0" w:space="0" w:color="auto"/>
              </w:divBdr>
              <w:divsChild>
                <w:div w:id="1078329700">
                  <w:marLeft w:val="0"/>
                  <w:marRight w:val="0"/>
                  <w:marTop w:val="0"/>
                  <w:marBottom w:val="0"/>
                  <w:divBdr>
                    <w:top w:val="none" w:sz="0" w:space="0" w:color="auto"/>
                    <w:left w:val="none" w:sz="0" w:space="0" w:color="auto"/>
                    <w:bottom w:val="none" w:sz="0" w:space="0" w:color="auto"/>
                    <w:right w:val="none" w:sz="0" w:space="0" w:color="auto"/>
                  </w:divBdr>
                </w:div>
              </w:divsChild>
            </w:div>
            <w:div w:id="1460685525">
              <w:marLeft w:val="0"/>
              <w:marRight w:val="0"/>
              <w:marTop w:val="0"/>
              <w:marBottom w:val="0"/>
              <w:divBdr>
                <w:top w:val="none" w:sz="0" w:space="0" w:color="auto"/>
                <w:left w:val="none" w:sz="0" w:space="0" w:color="auto"/>
                <w:bottom w:val="none" w:sz="0" w:space="0" w:color="auto"/>
                <w:right w:val="none" w:sz="0" w:space="0" w:color="auto"/>
              </w:divBdr>
              <w:divsChild>
                <w:div w:id="553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5499">
      <w:bodyDiv w:val="1"/>
      <w:marLeft w:val="0"/>
      <w:marRight w:val="0"/>
      <w:marTop w:val="0"/>
      <w:marBottom w:val="0"/>
      <w:divBdr>
        <w:top w:val="none" w:sz="0" w:space="0" w:color="auto"/>
        <w:left w:val="none" w:sz="0" w:space="0" w:color="auto"/>
        <w:bottom w:val="none" w:sz="0" w:space="0" w:color="auto"/>
        <w:right w:val="none" w:sz="0" w:space="0" w:color="auto"/>
      </w:divBdr>
    </w:div>
    <w:div w:id="1262108347">
      <w:bodyDiv w:val="1"/>
      <w:marLeft w:val="0"/>
      <w:marRight w:val="0"/>
      <w:marTop w:val="0"/>
      <w:marBottom w:val="0"/>
      <w:divBdr>
        <w:top w:val="none" w:sz="0" w:space="0" w:color="auto"/>
        <w:left w:val="none" w:sz="0" w:space="0" w:color="auto"/>
        <w:bottom w:val="none" w:sz="0" w:space="0" w:color="auto"/>
        <w:right w:val="none" w:sz="0" w:space="0" w:color="auto"/>
      </w:divBdr>
    </w:div>
    <w:div w:id="2005355612">
      <w:bodyDiv w:val="1"/>
      <w:marLeft w:val="0"/>
      <w:marRight w:val="0"/>
      <w:marTop w:val="0"/>
      <w:marBottom w:val="0"/>
      <w:divBdr>
        <w:top w:val="none" w:sz="0" w:space="0" w:color="auto"/>
        <w:left w:val="none" w:sz="0" w:space="0" w:color="auto"/>
        <w:bottom w:val="none" w:sz="0" w:space="0" w:color="auto"/>
        <w:right w:val="none" w:sz="0" w:space="0" w:color="auto"/>
      </w:divBdr>
      <w:divsChild>
        <w:div w:id="199892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higher-technical-education-provider-growth-fun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vac@bolton.ac.u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a.uvac.ac.uk" TargetMode="External"/><Relationship Id="rId5" Type="http://schemas.openxmlformats.org/officeDocument/2006/relationships/webSettings" Target="webSettings.xml"/><Relationship Id="rId15" Type="http://schemas.openxmlformats.org/officeDocument/2006/relationships/hyperlink" Target="https://www.instituteforapprenticeships.org/higher-technical-qualifications/approvals-criteria/" TargetMode="External"/><Relationship Id="rId23" Type="http://schemas.openxmlformats.org/officeDocument/2006/relationships/theme" Target="theme/theme1.xml"/><Relationship Id="rId10" Type="http://schemas.openxmlformats.org/officeDocument/2006/relationships/hyperlink" Target="mailto:uvac@bolton.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da.uvac.ac.uk" TargetMode="External"/><Relationship Id="rId14" Type="http://schemas.openxmlformats.org/officeDocument/2006/relationships/hyperlink" Target="https://uvac.ac.uk/t-levels-milestones-timelin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UVAC_Long%20Report_Template_A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5B00-E82A-7548-867F-2421094A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UVAC_Long%20Report_Template_AW.dotx</Template>
  <TotalTime>47</TotalTime>
  <Pages>11</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Mandy Crawford-Lee</cp:lastModifiedBy>
  <cp:revision>8</cp:revision>
  <cp:lastPrinted>2020-07-23T07:06:00Z</cp:lastPrinted>
  <dcterms:created xsi:type="dcterms:W3CDTF">2021-09-29T15:55:00Z</dcterms:created>
  <dcterms:modified xsi:type="dcterms:W3CDTF">2021-09-29T16:49:00Z</dcterms:modified>
</cp:coreProperties>
</file>